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eastAsia="黑体"/>
          <w:kern w:val="0"/>
          <w:sz w:val="32"/>
          <w:szCs w:val="32"/>
        </w:rPr>
      </w:pPr>
    </w:p>
    <w:p>
      <w:pPr>
        <w:jc w:val="center"/>
        <w:rPr>
          <w:rFonts w:eastAsia="方正小标宋_GBK"/>
          <w:sz w:val="48"/>
          <w:szCs w:val="48"/>
        </w:rPr>
      </w:pPr>
      <w:r>
        <w:rPr>
          <w:rFonts w:hint="eastAsia" w:eastAsia="方正小标宋_GBK"/>
          <w:sz w:val="48"/>
          <w:szCs w:val="48"/>
        </w:rPr>
        <w:t>2023</w:t>
      </w:r>
      <w:r>
        <w:rPr>
          <w:rFonts w:eastAsia="方正小标宋_GBK"/>
          <w:sz w:val="48"/>
          <w:szCs w:val="48"/>
        </w:rPr>
        <w:t>年度</w:t>
      </w:r>
      <w:r>
        <w:rPr>
          <w:rFonts w:hint="eastAsia" w:eastAsia="方正小标宋_GBK"/>
          <w:sz w:val="48"/>
          <w:szCs w:val="48"/>
        </w:rPr>
        <w:t>江永县第二中学</w:t>
      </w:r>
      <w:r>
        <w:rPr>
          <w:rFonts w:eastAsia="方正小标宋_GBK"/>
          <w:sz w:val="48"/>
          <w:szCs w:val="48"/>
        </w:rPr>
        <w:t>整体支出绩效自评报告</w:t>
      </w:r>
    </w:p>
    <w:p>
      <w:pPr>
        <w:jc w:val="center"/>
        <w:rPr>
          <w:rFonts w:eastAsia="楷体_GB2312"/>
          <w:b/>
          <w:sz w:val="32"/>
          <w:szCs w:val="32"/>
        </w:rPr>
      </w:pPr>
      <w:r>
        <w:rPr>
          <w:rFonts w:hint="eastAsia" w:eastAsia="楷体_GB2312"/>
          <w:b/>
          <w:sz w:val="32"/>
          <w:szCs w:val="32"/>
        </w:rPr>
        <w:t xml:space="preserve"> </w:t>
      </w: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ind w:firstLine="880" w:firstLineChars="200"/>
        <w:jc w:val="center"/>
        <w:rPr>
          <w:rFonts w:eastAsia="黑体"/>
          <w:sz w:val="44"/>
          <w:szCs w:val="44"/>
        </w:rPr>
      </w:pPr>
    </w:p>
    <w:p>
      <w:pPr>
        <w:ind w:firstLine="880" w:firstLineChars="200"/>
        <w:jc w:val="center"/>
        <w:rPr>
          <w:rFonts w:eastAsia="黑体"/>
          <w:sz w:val="44"/>
          <w:szCs w:val="44"/>
        </w:rPr>
      </w:pPr>
    </w:p>
    <w:p>
      <w:pPr>
        <w:ind w:firstLine="880" w:firstLineChars="200"/>
        <w:jc w:val="center"/>
        <w:rPr>
          <w:rFonts w:eastAsia="黑体"/>
          <w:sz w:val="44"/>
          <w:szCs w:val="44"/>
        </w:rPr>
      </w:pPr>
    </w:p>
    <w:p>
      <w:pPr>
        <w:ind w:firstLine="720" w:firstLineChars="200"/>
        <w:jc w:val="center"/>
        <w:rPr>
          <w:rFonts w:eastAsia="黑体"/>
          <w:sz w:val="36"/>
          <w:szCs w:val="36"/>
        </w:rPr>
      </w:pPr>
    </w:p>
    <w:p>
      <w:pPr>
        <w:rPr>
          <w:rFonts w:eastAsia="黑体"/>
          <w:sz w:val="36"/>
          <w:szCs w:val="36"/>
        </w:rPr>
      </w:pPr>
      <w:r>
        <w:rPr>
          <w:rFonts w:eastAsia="黑体"/>
          <w:sz w:val="36"/>
          <w:szCs w:val="36"/>
        </w:rPr>
        <w:t>单位名称（盖章）：</w:t>
      </w:r>
      <w:r>
        <w:rPr>
          <w:rFonts w:hint="eastAsia" w:eastAsia="黑体"/>
          <w:sz w:val="36"/>
          <w:szCs w:val="36"/>
        </w:rPr>
        <w:t>江永县第二中学</w:t>
      </w:r>
    </w:p>
    <w:p>
      <w:pPr>
        <w:jc w:val="center"/>
        <w:rPr>
          <w:rFonts w:eastAsia="黑体"/>
          <w:sz w:val="36"/>
          <w:szCs w:val="36"/>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spacing w:line="600" w:lineRule="exact"/>
        <w:ind w:firstLine="640" w:firstLineChars="200"/>
        <w:rPr>
          <w:rFonts w:eastAsia="黑体"/>
          <w:sz w:val="32"/>
          <w:szCs w:val="32"/>
        </w:rPr>
      </w:pPr>
    </w:p>
    <w:p>
      <w:pPr>
        <w:spacing w:line="600" w:lineRule="exact"/>
        <w:ind w:firstLine="640" w:firstLineChars="200"/>
        <w:rPr>
          <w:rFonts w:eastAsia="黑体"/>
          <w:sz w:val="32"/>
          <w:szCs w:val="32"/>
        </w:rPr>
      </w:pPr>
    </w:p>
    <w:p>
      <w:pPr>
        <w:spacing w:line="600" w:lineRule="exact"/>
        <w:ind w:firstLine="640" w:firstLineChars="200"/>
        <w:rPr>
          <w:rFonts w:eastAsia="黑体"/>
          <w:sz w:val="32"/>
          <w:szCs w:val="32"/>
        </w:rPr>
      </w:pPr>
      <w:r>
        <w:rPr>
          <w:rFonts w:eastAsia="黑体"/>
          <w:sz w:val="32"/>
          <w:szCs w:val="32"/>
        </w:rPr>
        <w:t>一、基本情况</w:t>
      </w:r>
    </w:p>
    <w:p>
      <w:pPr>
        <w:spacing w:line="600" w:lineRule="exact"/>
        <w:ind w:firstLine="643" w:firstLineChars="200"/>
        <w:rPr>
          <w:rFonts w:eastAsia="楷体_GB2312"/>
          <w:b/>
          <w:sz w:val="32"/>
          <w:szCs w:val="32"/>
        </w:rPr>
      </w:pPr>
      <w:r>
        <w:rPr>
          <w:rFonts w:eastAsia="楷体_GB2312"/>
          <w:b/>
          <w:sz w:val="32"/>
          <w:szCs w:val="32"/>
        </w:rPr>
        <w:t>（一）</w:t>
      </w:r>
      <w:r>
        <w:rPr>
          <w:rFonts w:hint="eastAsia" w:eastAsia="楷体_GB2312"/>
          <w:b/>
          <w:sz w:val="32"/>
          <w:szCs w:val="32"/>
        </w:rPr>
        <w:t>单位</w:t>
      </w:r>
      <w:r>
        <w:rPr>
          <w:rFonts w:eastAsia="楷体_GB2312"/>
          <w:b/>
          <w:sz w:val="32"/>
          <w:szCs w:val="32"/>
        </w:rPr>
        <w:t>基本情况</w:t>
      </w:r>
    </w:p>
    <w:p>
      <w:pPr>
        <w:spacing w:line="600" w:lineRule="exact"/>
        <w:ind w:firstLine="640" w:firstLineChars="200"/>
        <w:rPr>
          <w:rFonts w:eastAsia="仿宋_GB2312"/>
          <w:sz w:val="32"/>
          <w:szCs w:val="32"/>
        </w:rPr>
      </w:pPr>
      <w:r>
        <w:rPr>
          <w:rFonts w:hint="eastAsia" w:eastAsia="仿宋_GB2312"/>
          <w:sz w:val="32"/>
          <w:szCs w:val="32"/>
        </w:rPr>
        <w:t>江永县第二中学位于江永县桃川镇书馆路009号，现有初中部及高中部，2023年共有</w:t>
      </w:r>
      <w:r>
        <w:rPr>
          <w:rFonts w:eastAsia="仿宋_GB2312"/>
          <w:sz w:val="32"/>
          <w:szCs w:val="32"/>
        </w:rPr>
        <w:t>52</w:t>
      </w:r>
      <w:r>
        <w:rPr>
          <w:rFonts w:hint="eastAsia" w:eastAsia="仿宋_GB2312"/>
          <w:sz w:val="32"/>
          <w:szCs w:val="32"/>
        </w:rPr>
        <w:t>个教学班，</w:t>
      </w:r>
      <w:r>
        <w:rPr>
          <w:rFonts w:eastAsia="仿宋_GB2312"/>
          <w:sz w:val="32"/>
          <w:szCs w:val="32"/>
        </w:rPr>
        <w:t>2</w:t>
      </w:r>
      <w:r>
        <w:rPr>
          <w:rFonts w:hint="eastAsia" w:eastAsia="仿宋_GB2312"/>
          <w:sz w:val="32"/>
          <w:szCs w:val="32"/>
          <w:lang w:val="en-US" w:eastAsia="zh-CN"/>
        </w:rPr>
        <w:t>273</w:t>
      </w:r>
      <w:r>
        <w:rPr>
          <w:rFonts w:hint="eastAsia" w:eastAsia="仿宋_GB2312"/>
          <w:sz w:val="32"/>
          <w:szCs w:val="32"/>
        </w:rPr>
        <w:t>名学生，全校教职员工</w:t>
      </w:r>
      <w:r>
        <w:rPr>
          <w:rFonts w:hint="eastAsia" w:eastAsia="仿宋_GB2312"/>
          <w:sz w:val="32"/>
          <w:szCs w:val="32"/>
          <w:lang w:val="en-US" w:eastAsia="zh-CN"/>
        </w:rPr>
        <w:t>174</w:t>
      </w:r>
      <w:r>
        <w:rPr>
          <w:rFonts w:hint="eastAsia" w:eastAsia="仿宋_GB2312"/>
          <w:sz w:val="32"/>
          <w:szCs w:val="32"/>
        </w:rPr>
        <w:t>人，在职在编人数</w:t>
      </w:r>
      <w:r>
        <w:rPr>
          <w:rFonts w:eastAsia="仿宋_GB2312"/>
          <w:sz w:val="32"/>
          <w:szCs w:val="32"/>
        </w:rPr>
        <w:t>126</w:t>
      </w:r>
      <w:r>
        <w:rPr>
          <w:rFonts w:hint="eastAsia" w:eastAsia="仿宋_GB2312"/>
          <w:sz w:val="32"/>
          <w:szCs w:val="32"/>
        </w:rPr>
        <w:t>人。单位主要职能：初中义务教育和高中学历教育，促进基础教育发展。</w:t>
      </w:r>
    </w:p>
    <w:p>
      <w:pPr>
        <w:numPr>
          <w:ilvl w:val="0"/>
          <w:numId w:val="1"/>
        </w:numPr>
        <w:spacing w:line="600" w:lineRule="exact"/>
        <w:ind w:firstLine="643" w:firstLineChars="200"/>
        <w:rPr>
          <w:rFonts w:eastAsia="楷体_GB2312"/>
          <w:b/>
          <w:sz w:val="32"/>
          <w:szCs w:val="32"/>
        </w:rPr>
      </w:pPr>
      <w:r>
        <w:rPr>
          <w:rFonts w:hint="eastAsia" w:eastAsia="楷体_GB2312"/>
          <w:b/>
          <w:sz w:val="32"/>
          <w:szCs w:val="32"/>
        </w:rPr>
        <w:t>单位</w:t>
      </w:r>
      <w:r>
        <w:rPr>
          <w:rFonts w:eastAsia="楷体_GB2312"/>
          <w:b/>
          <w:sz w:val="32"/>
          <w:szCs w:val="32"/>
        </w:rPr>
        <w:t>年度整体支出绩效目标</w:t>
      </w:r>
    </w:p>
    <w:p>
      <w:pPr>
        <w:spacing w:line="600" w:lineRule="exact"/>
        <w:ind w:firstLine="640" w:firstLineChars="200"/>
        <w:rPr>
          <w:rFonts w:eastAsia="仿宋_GB2312"/>
          <w:sz w:val="32"/>
          <w:szCs w:val="32"/>
        </w:rPr>
      </w:pPr>
      <w:r>
        <w:rPr>
          <w:rFonts w:hint="eastAsia" w:eastAsia="仿宋_GB2312"/>
          <w:sz w:val="32"/>
          <w:szCs w:val="32"/>
        </w:rPr>
        <w:t>按照国家政策法规规定和本单位实际情况，建立健全财务基础管理制度和约束机制，依法、有效地使用财政资金，提高财政资金使用效率，在完成单位职能目标中合理分配人、财、物，使之达到较高的工作效率和水平</w:t>
      </w:r>
    </w:p>
    <w:p>
      <w:pPr>
        <w:pStyle w:val="10"/>
        <w:spacing w:line="600" w:lineRule="exact"/>
        <w:ind w:firstLine="640"/>
        <w:rPr>
          <w:rFonts w:ascii="Times New Roman" w:hAnsi="Times New Roman" w:eastAsia="黑体"/>
          <w:sz w:val="32"/>
          <w:szCs w:val="32"/>
        </w:rPr>
      </w:pPr>
      <w:r>
        <w:rPr>
          <w:rFonts w:ascii="Times New Roman" w:hAnsi="Times New Roman" w:eastAsia="黑体"/>
          <w:sz w:val="32"/>
          <w:szCs w:val="32"/>
        </w:rPr>
        <w:t>二、一般公共预算支出情况</w:t>
      </w:r>
    </w:p>
    <w:p>
      <w:pPr>
        <w:pStyle w:val="10"/>
        <w:spacing w:line="600" w:lineRule="exact"/>
        <w:ind w:firstLine="640"/>
        <w:rPr>
          <w:rFonts w:ascii="Times New Roman" w:hAnsi="Times New Roman" w:eastAsia="楷体_GB2312"/>
          <w:b/>
          <w:sz w:val="32"/>
          <w:szCs w:val="32"/>
        </w:rPr>
      </w:pPr>
      <w:r>
        <w:rPr>
          <w:rFonts w:ascii="Times New Roman" w:hAnsi="Times New Roman" w:eastAsia="楷体_GB2312"/>
          <w:b/>
          <w:sz w:val="32"/>
          <w:szCs w:val="32"/>
        </w:rPr>
        <w:t>（一）基本支出情况</w:t>
      </w:r>
    </w:p>
    <w:p>
      <w:pPr>
        <w:spacing w:line="600" w:lineRule="exact"/>
        <w:ind w:firstLine="640" w:firstLineChars="200"/>
        <w:rPr>
          <w:rFonts w:eastAsia="仿宋_GB2312"/>
          <w:color w:val="000000" w:themeColor="text1"/>
          <w:sz w:val="32"/>
          <w:szCs w:val="32"/>
          <w14:textFill>
            <w14:solidFill>
              <w14:schemeClr w14:val="tx1"/>
            </w14:solidFill>
          </w14:textFill>
        </w:rPr>
      </w:pPr>
      <w:r>
        <w:rPr>
          <w:rFonts w:hint="eastAsia" w:eastAsia="仿宋_GB2312"/>
          <w:color w:val="000000" w:themeColor="text1"/>
          <w:sz w:val="32"/>
          <w:szCs w:val="32"/>
          <w14:textFill>
            <w14:solidFill>
              <w14:schemeClr w14:val="tx1"/>
            </w14:solidFill>
          </w14:textFill>
        </w:rPr>
        <w:t>2023年年度一般公共预算安排</w:t>
      </w:r>
      <w:r>
        <w:rPr>
          <w:rFonts w:hint="eastAsia" w:eastAsia="仿宋_GB2312"/>
          <w:color w:val="000000" w:themeColor="text1"/>
          <w:sz w:val="32"/>
          <w:szCs w:val="32"/>
          <w:lang w:val="en-US" w:eastAsia="zh-CN"/>
          <w14:textFill>
            <w14:solidFill>
              <w14:schemeClr w14:val="tx1"/>
            </w14:solidFill>
          </w14:textFill>
        </w:rPr>
        <w:t>2236.65</w:t>
      </w:r>
      <w:r>
        <w:rPr>
          <w:rFonts w:hint="eastAsia" w:eastAsia="仿宋_GB2312"/>
          <w:color w:val="000000" w:themeColor="text1"/>
          <w:sz w:val="32"/>
          <w:szCs w:val="32"/>
          <w14:textFill>
            <w14:solidFill>
              <w14:schemeClr w14:val="tx1"/>
            </w14:solidFill>
          </w14:textFill>
        </w:rPr>
        <w:t>万元，其中人员经费</w:t>
      </w:r>
      <w:r>
        <w:rPr>
          <w:rFonts w:hint="eastAsia" w:eastAsia="仿宋_GB2312"/>
          <w:color w:val="000000" w:themeColor="text1"/>
          <w:sz w:val="32"/>
          <w:szCs w:val="32"/>
          <w:lang w:val="en-US" w:eastAsia="zh-CN"/>
          <w14:textFill>
            <w14:solidFill>
              <w14:schemeClr w14:val="tx1"/>
            </w14:solidFill>
          </w14:textFill>
        </w:rPr>
        <w:t>1205.42</w:t>
      </w:r>
      <w:r>
        <w:rPr>
          <w:rFonts w:hint="eastAsia" w:eastAsia="仿宋_GB2312"/>
          <w:color w:val="000000" w:themeColor="text1"/>
          <w:sz w:val="32"/>
          <w:szCs w:val="32"/>
          <w14:textFill>
            <w14:solidFill>
              <w14:schemeClr w14:val="tx1"/>
            </w14:solidFill>
          </w14:textFill>
        </w:rPr>
        <w:t>万元，公用经费</w:t>
      </w:r>
      <w:r>
        <w:rPr>
          <w:rFonts w:hint="eastAsia" w:eastAsia="仿宋_GB2312"/>
          <w:color w:val="000000" w:themeColor="text1"/>
          <w:sz w:val="32"/>
          <w:szCs w:val="32"/>
          <w:lang w:val="en-US" w:eastAsia="zh-CN"/>
          <w14:textFill>
            <w14:solidFill>
              <w14:schemeClr w14:val="tx1"/>
            </w14:solidFill>
          </w14:textFill>
        </w:rPr>
        <w:t>370.2</w:t>
      </w:r>
      <w:r>
        <w:rPr>
          <w:rFonts w:hint="eastAsia" w:eastAsia="仿宋_GB2312"/>
          <w:color w:val="000000" w:themeColor="text1"/>
          <w:sz w:val="32"/>
          <w:szCs w:val="32"/>
          <w14:textFill>
            <w14:solidFill>
              <w14:schemeClr w14:val="tx1"/>
            </w14:solidFill>
          </w14:textFill>
        </w:rPr>
        <w:t>万元，项目支出</w:t>
      </w:r>
      <w:r>
        <w:rPr>
          <w:rFonts w:hint="eastAsia" w:eastAsia="仿宋_GB2312"/>
          <w:color w:val="000000" w:themeColor="text1"/>
          <w:sz w:val="32"/>
          <w:szCs w:val="32"/>
          <w:lang w:val="en-US" w:eastAsia="zh-CN"/>
          <w14:textFill>
            <w14:solidFill>
              <w14:schemeClr w14:val="tx1"/>
            </w14:solidFill>
          </w14:textFill>
        </w:rPr>
        <w:t>661</w:t>
      </w:r>
      <w:r>
        <w:rPr>
          <w:rFonts w:hint="eastAsia" w:eastAsia="仿宋_GB2312"/>
          <w:color w:val="000000" w:themeColor="text1"/>
          <w:sz w:val="32"/>
          <w:szCs w:val="32"/>
          <w14:textFill>
            <w14:solidFill>
              <w14:schemeClr w14:val="tx1"/>
            </w14:solidFill>
          </w14:textFill>
        </w:rPr>
        <w:t>万元。</w:t>
      </w:r>
    </w:p>
    <w:p>
      <w:pPr>
        <w:spacing w:line="600" w:lineRule="exact"/>
        <w:ind w:firstLine="640" w:firstLineChars="200"/>
        <w:rPr>
          <w:rFonts w:eastAsia="仿宋_GB2312"/>
          <w:color w:val="FF0000"/>
          <w:sz w:val="32"/>
          <w:szCs w:val="32"/>
        </w:rPr>
      </w:pPr>
      <w:r>
        <w:rPr>
          <w:rFonts w:hint="eastAsia" w:eastAsia="仿宋_GB2312"/>
          <w:color w:val="000000" w:themeColor="text1"/>
          <w:sz w:val="32"/>
          <w:szCs w:val="32"/>
          <w14:textFill>
            <w14:solidFill>
              <w14:schemeClr w14:val="tx1"/>
            </w14:solidFill>
          </w14:textFill>
        </w:rPr>
        <w:t>2023年江永县第二中学用于单位正常运转及人员经费共</w:t>
      </w:r>
      <w:r>
        <w:rPr>
          <w:rFonts w:hint="eastAsia" w:eastAsia="仿宋_GB2312"/>
          <w:color w:val="000000" w:themeColor="text1"/>
          <w:sz w:val="32"/>
          <w:szCs w:val="32"/>
          <w:lang w:val="en-US" w:eastAsia="zh-CN"/>
          <w14:textFill>
            <w14:solidFill>
              <w14:schemeClr w14:val="tx1"/>
            </w14:solidFill>
          </w14:textFill>
        </w:rPr>
        <w:t>1205.42</w:t>
      </w:r>
      <w:r>
        <w:rPr>
          <w:rFonts w:hint="eastAsia" w:eastAsia="仿宋_GB2312"/>
          <w:color w:val="000000" w:themeColor="text1"/>
          <w:sz w:val="32"/>
          <w:szCs w:val="32"/>
          <w14:textFill>
            <w14:solidFill>
              <w14:schemeClr w14:val="tx1"/>
            </w14:solidFill>
          </w14:textFill>
        </w:rPr>
        <w:t>万元，其中人员支出（含基本工资、绩效津补贴、社保及临聘人员工资福利等）共</w:t>
      </w:r>
      <w:r>
        <w:rPr>
          <w:rFonts w:hint="eastAsia" w:eastAsia="仿宋_GB2312"/>
          <w:color w:val="000000" w:themeColor="text1"/>
          <w:sz w:val="32"/>
          <w:szCs w:val="32"/>
          <w:lang w:val="en-US" w:eastAsia="zh-CN"/>
          <w14:textFill>
            <w14:solidFill>
              <w14:schemeClr w14:val="tx1"/>
            </w14:solidFill>
          </w14:textFill>
        </w:rPr>
        <w:t>835.22</w:t>
      </w:r>
      <w:r>
        <w:rPr>
          <w:rFonts w:hint="eastAsia" w:eastAsia="仿宋_GB2312"/>
          <w:color w:val="000000" w:themeColor="text1"/>
          <w:sz w:val="32"/>
          <w:szCs w:val="32"/>
          <w14:textFill>
            <w14:solidFill>
              <w14:schemeClr w14:val="tx1"/>
            </w14:solidFill>
          </w14:textFill>
        </w:rPr>
        <w:t>万元，机构正常运转经费</w:t>
      </w:r>
      <w:r>
        <w:rPr>
          <w:rFonts w:hint="eastAsia" w:eastAsia="仿宋_GB2312"/>
          <w:color w:val="000000" w:themeColor="text1"/>
          <w:sz w:val="32"/>
          <w:szCs w:val="32"/>
          <w:lang w:val="en-US" w:eastAsia="zh-CN"/>
          <w14:textFill>
            <w14:solidFill>
              <w14:schemeClr w14:val="tx1"/>
            </w14:solidFill>
          </w14:textFill>
        </w:rPr>
        <w:t>370.2</w:t>
      </w:r>
      <w:r>
        <w:rPr>
          <w:rFonts w:hint="eastAsia" w:eastAsia="仿宋_GB2312"/>
          <w:color w:val="000000" w:themeColor="text1"/>
          <w:sz w:val="32"/>
          <w:szCs w:val="32"/>
          <w14:textFill>
            <w14:solidFill>
              <w14:schemeClr w14:val="tx1"/>
            </w14:solidFill>
          </w14:textFill>
        </w:rPr>
        <w:t>万元。其中办公费</w:t>
      </w:r>
      <w:r>
        <w:rPr>
          <w:rFonts w:hint="eastAsia" w:eastAsia="仿宋_GB2312"/>
          <w:color w:val="000000" w:themeColor="text1"/>
          <w:sz w:val="32"/>
          <w:szCs w:val="32"/>
          <w:lang w:val="en-US" w:eastAsia="zh-CN"/>
          <w14:textFill>
            <w14:solidFill>
              <w14:schemeClr w14:val="tx1"/>
            </w14:solidFill>
          </w14:textFill>
        </w:rPr>
        <w:t>62.1</w:t>
      </w:r>
      <w:r>
        <w:rPr>
          <w:rFonts w:hint="eastAsia" w:eastAsia="仿宋_GB2312"/>
          <w:color w:val="000000" w:themeColor="text1"/>
          <w:sz w:val="32"/>
          <w:szCs w:val="32"/>
          <w14:textFill>
            <w14:solidFill>
              <w14:schemeClr w14:val="tx1"/>
            </w14:solidFill>
          </w14:textFill>
        </w:rPr>
        <w:t>万元；水费电费差旅费</w:t>
      </w:r>
      <w:r>
        <w:rPr>
          <w:rFonts w:hint="eastAsia" w:eastAsia="仿宋_GB2312"/>
          <w:color w:val="000000" w:themeColor="text1"/>
          <w:sz w:val="32"/>
          <w:szCs w:val="32"/>
          <w:lang w:val="en-US" w:eastAsia="zh-CN"/>
          <w14:textFill>
            <w14:solidFill>
              <w14:schemeClr w14:val="tx1"/>
            </w14:solidFill>
          </w14:textFill>
        </w:rPr>
        <w:t>51.7</w:t>
      </w:r>
      <w:r>
        <w:rPr>
          <w:rFonts w:hint="eastAsia" w:eastAsia="仿宋_GB2312"/>
          <w:color w:val="000000" w:themeColor="text1"/>
          <w:sz w:val="32"/>
          <w:szCs w:val="32"/>
          <w14:textFill>
            <w14:solidFill>
              <w14:schemeClr w14:val="tx1"/>
            </w14:solidFill>
          </w14:textFill>
        </w:rPr>
        <w:t>万元；培训费</w:t>
      </w:r>
      <w:r>
        <w:rPr>
          <w:rFonts w:hint="eastAsia" w:eastAsia="仿宋_GB2312"/>
          <w:color w:val="000000" w:themeColor="text1"/>
          <w:sz w:val="32"/>
          <w:szCs w:val="32"/>
          <w:lang w:val="en-US" w:eastAsia="zh-CN"/>
          <w14:textFill>
            <w14:solidFill>
              <w14:schemeClr w14:val="tx1"/>
            </w14:solidFill>
          </w14:textFill>
        </w:rPr>
        <w:t>5.83</w:t>
      </w:r>
      <w:r>
        <w:rPr>
          <w:rFonts w:hint="eastAsia" w:eastAsia="仿宋_GB2312"/>
          <w:color w:val="000000" w:themeColor="text1"/>
          <w:sz w:val="32"/>
          <w:szCs w:val="32"/>
          <w14:textFill>
            <w14:solidFill>
              <w14:schemeClr w14:val="tx1"/>
            </w14:solidFill>
          </w14:textFill>
        </w:rPr>
        <w:t>元等。</w:t>
      </w:r>
    </w:p>
    <w:p>
      <w:pPr>
        <w:spacing w:line="600" w:lineRule="exact"/>
        <w:ind w:firstLine="643" w:firstLineChars="200"/>
        <w:rPr>
          <w:rFonts w:ascii="Times New Roman" w:hAnsi="Times New Roman" w:eastAsia="楷体_GB2312"/>
          <w:b/>
          <w:sz w:val="32"/>
          <w:szCs w:val="32"/>
        </w:rPr>
      </w:pPr>
    </w:p>
    <w:p>
      <w:pPr>
        <w:spacing w:line="600" w:lineRule="exact"/>
        <w:ind w:firstLine="643" w:firstLineChars="200"/>
        <w:rPr>
          <w:rFonts w:ascii="Times New Roman" w:hAnsi="Times New Roman" w:eastAsia="楷体_GB2312"/>
          <w:b/>
          <w:sz w:val="32"/>
          <w:szCs w:val="32"/>
        </w:rPr>
      </w:pPr>
      <w:r>
        <w:rPr>
          <w:rFonts w:ascii="Times New Roman" w:hAnsi="Times New Roman" w:eastAsia="楷体_GB2312"/>
          <w:b/>
          <w:sz w:val="32"/>
          <w:szCs w:val="32"/>
        </w:rPr>
        <w:t>（二）项目支出情况</w:t>
      </w:r>
    </w:p>
    <w:p>
      <w:pPr>
        <w:pStyle w:val="10"/>
        <w:numPr>
          <w:ilvl w:val="0"/>
          <w:numId w:val="0"/>
        </w:numPr>
        <w:spacing w:line="600" w:lineRule="exact"/>
        <w:ind w:left="630" w:leftChars="0"/>
        <w:rPr>
          <w:rFonts w:hint="eastAsia" w:eastAsia="仿宋_GB2312"/>
          <w:sz w:val="32"/>
          <w:szCs w:val="32"/>
          <w:lang w:val="en-US" w:eastAsia="zh-CN"/>
        </w:rPr>
      </w:pPr>
      <w:r>
        <w:rPr>
          <w:rFonts w:hint="eastAsia" w:eastAsia="仿宋_GB2312"/>
          <w:sz w:val="32"/>
          <w:szCs w:val="32"/>
          <w:lang w:val="en-US" w:eastAsia="zh-CN"/>
        </w:rPr>
        <w:t>1.二中事业发展经费11万元</w:t>
      </w:r>
    </w:p>
    <w:p>
      <w:pPr>
        <w:pStyle w:val="10"/>
        <w:numPr>
          <w:ilvl w:val="0"/>
          <w:numId w:val="0"/>
        </w:numPr>
        <w:spacing w:line="600" w:lineRule="exact"/>
        <w:ind w:left="630" w:leftChars="0"/>
        <w:rPr>
          <w:rFonts w:hint="default" w:eastAsia="仿宋_GB2312"/>
          <w:sz w:val="32"/>
          <w:szCs w:val="32"/>
          <w:lang w:val="en-US" w:eastAsia="zh-CN"/>
        </w:rPr>
      </w:pPr>
      <w:r>
        <w:rPr>
          <w:rFonts w:hint="eastAsia" w:eastAsia="仿宋_GB2312"/>
          <w:sz w:val="32"/>
          <w:szCs w:val="32"/>
          <w:lang w:val="en-US" w:eastAsia="zh-CN"/>
        </w:rPr>
        <w:t>2.二中校园建设650万元</w:t>
      </w:r>
    </w:p>
    <w:p>
      <w:pPr>
        <w:spacing w:line="600" w:lineRule="exact"/>
        <w:ind w:firstLine="640" w:firstLineChars="200"/>
        <w:rPr>
          <w:rFonts w:ascii="黑体" w:hAnsi="黑体" w:eastAsia="黑体"/>
          <w:kern w:val="0"/>
          <w:sz w:val="32"/>
          <w:szCs w:val="32"/>
        </w:rPr>
      </w:pPr>
      <w:r>
        <w:rPr>
          <w:rFonts w:hint="eastAsia" w:ascii="黑体" w:hAnsi="黑体" w:eastAsia="黑体"/>
          <w:kern w:val="0"/>
          <w:sz w:val="32"/>
          <w:szCs w:val="32"/>
        </w:rPr>
        <w:t>三、绩效评价情况</w:t>
      </w:r>
    </w:p>
    <w:p>
      <w:pPr>
        <w:spacing w:line="600" w:lineRule="exact"/>
        <w:ind w:firstLine="643" w:firstLineChars="200"/>
        <w:rPr>
          <w:rFonts w:ascii="楷体_GB2312" w:hAnsi="仿宋" w:eastAsia="楷体_GB2312"/>
          <w:b/>
          <w:kern w:val="0"/>
          <w:sz w:val="32"/>
          <w:szCs w:val="32"/>
        </w:rPr>
      </w:pPr>
      <w:r>
        <w:rPr>
          <w:rFonts w:hint="eastAsia" w:ascii="楷体_GB2312" w:hAnsi="仿宋" w:eastAsia="楷体_GB2312"/>
          <w:b/>
          <w:kern w:val="0"/>
          <w:sz w:val="32"/>
          <w:szCs w:val="32"/>
        </w:rPr>
        <w:t>（一）绩效评价的目的</w:t>
      </w:r>
    </w:p>
    <w:p>
      <w:pPr>
        <w:spacing w:line="60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rPr>
        <w:t>通过绩效评价，能更具体了解我办整体部门支出资金投入、分配和使用情况，资金管理制度、措施制定和实施情况，资金使用效果和资金项目目标实现情况。有利于总结经验，发现问题，及时改进。进一步加强我</w:t>
      </w:r>
      <w:r>
        <w:rPr>
          <w:rFonts w:hint="eastAsia" w:ascii="仿宋" w:hAnsi="仿宋" w:eastAsia="仿宋" w:cs="仿宋"/>
          <w:sz w:val="32"/>
          <w:szCs w:val="32"/>
          <w:lang w:eastAsia="zh-CN"/>
        </w:rPr>
        <w:t>校</w:t>
      </w:r>
      <w:r>
        <w:rPr>
          <w:rFonts w:hint="eastAsia" w:ascii="仿宋" w:hAnsi="仿宋" w:eastAsia="仿宋" w:cs="仿宋"/>
          <w:sz w:val="32"/>
          <w:szCs w:val="32"/>
        </w:rPr>
        <w:t>整体部门支出资金管理，提升全面深化改革、督查督办工作效率，及时、准确向省委、市委报送信息，反映有关动态</w:t>
      </w:r>
      <w:r>
        <w:rPr>
          <w:rFonts w:hint="eastAsia" w:ascii="仿宋" w:hAnsi="仿宋" w:eastAsia="仿宋" w:cs="仿宋"/>
          <w:sz w:val="32"/>
          <w:szCs w:val="32"/>
          <w:lang w:val="en-US" w:eastAsia="zh-CN"/>
        </w:rPr>
        <w:t>.</w:t>
      </w:r>
    </w:p>
    <w:p>
      <w:pPr>
        <w:spacing w:line="600" w:lineRule="exact"/>
        <w:ind w:firstLine="643" w:firstLineChars="200"/>
        <w:rPr>
          <w:rFonts w:ascii="楷体_GB2312" w:hAnsi="仿宋" w:eastAsia="楷体_GB2312"/>
          <w:b/>
          <w:kern w:val="0"/>
          <w:sz w:val="32"/>
          <w:szCs w:val="32"/>
        </w:rPr>
      </w:pPr>
      <w:r>
        <w:rPr>
          <w:rFonts w:hint="eastAsia" w:ascii="楷体_GB2312" w:hAnsi="仿宋" w:eastAsia="楷体_GB2312"/>
          <w:b/>
          <w:kern w:val="0"/>
          <w:sz w:val="32"/>
          <w:szCs w:val="32"/>
        </w:rPr>
        <w:t>（二）绩效评价原则、评价指标体系、评价方法</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1、评价原则：我们遵循“科学性、规范性、客观性和公正性”的原则，以《江永县预算支出绩效评价管理办法》(江永财发〔2024〕3号 )、《江永县县级预算部门绩效自评操作规程》(江永财发〔2023〕39号)文件精神，以及中央、省有关预算绩效管理的政策规定、财务会计制度等为指导，由点到面、稳步推进，对我办整体部门支出资金的管理及产生生态、经济和社会效益进行自我评价。</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2、评价指标体系：设投入、过程、产出及效率3个一级指标、下分6个二级指标和</w:t>
      </w:r>
      <w:r>
        <w:rPr>
          <w:rFonts w:hint="eastAsia" w:ascii="仿宋" w:hAnsi="仿宋" w:eastAsia="仿宋" w:cs="仿宋"/>
          <w:sz w:val="32"/>
          <w:szCs w:val="32"/>
          <w:lang w:val="en-US" w:eastAsia="zh-CN"/>
        </w:rPr>
        <w:t>11</w:t>
      </w:r>
      <w:r>
        <w:rPr>
          <w:rFonts w:hint="eastAsia" w:ascii="仿宋" w:hAnsi="仿宋" w:eastAsia="仿宋" w:cs="仿宋"/>
          <w:sz w:val="32"/>
          <w:szCs w:val="32"/>
        </w:rPr>
        <w:t>个三级指标，按照评价指标设定评价内容，分值为9</w:t>
      </w:r>
      <w:r>
        <w:rPr>
          <w:rFonts w:hint="eastAsia" w:ascii="仿宋" w:hAnsi="仿宋" w:eastAsia="仿宋" w:cs="仿宋"/>
          <w:sz w:val="32"/>
          <w:szCs w:val="32"/>
          <w:lang w:val="en-US" w:eastAsia="zh-CN"/>
        </w:rPr>
        <w:t>9</w:t>
      </w:r>
      <w:r>
        <w:rPr>
          <w:rFonts w:hint="eastAsia" w:ascii="仿宋" w:hAnsi="仿宋" w:eastAsia="仿宋" w:cs="仿宋"/>
          <w:sz w:val="32"/>
          <w:szCs w:val="32"/>
        </w:rPr>
        <w:t>分。（详见评价指标体系评分表）</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3、评价方法：（1）成本效益分析法。是指将一定时期内的支出与效益进行对比分析，以评价绩效目标实现程度。（2）比较法。是指通过对绩效目标与实施效果、历史与当期情况、不同部门和地区同类支出的比较，符合分析绩效目标实现程度。（3）因素分析法。是指通过综合分析影响绩效目标实现、实施效果的内外因素、评价绩效目标实现程度。（4）最低成本法。是指对效益确定却不易计量的多个同类对象的实施成本进行比较，评价绩效目标实现程度。（5）公众评判法，是指通过专家评估、公众问卷及抽样调查等对财政支出效果进行评判，评价绩效目标实现程度。</w:t>
      </w:r>
    </w:p>
    <w:p>
      <w:pPr>
        <w:spacing w:line="600" w:lineRule="exact"/>
        <w:ind w:firstLine="643" w:firstLineChars="200"/>
        <w:rPr>
          <w:rFonts w:ascii="楷体_GB2312" w:hAnsi="仿宋" w:eastAsia="楷体_GB2312"/>
          <w:b/>
          <w:kern w:val="0"/>
          <w:sz w:val="32"/>
          <w:szCs w:val="32"/>
        </w:rPr>
      </w:pPr>
      <w:r>
        <w:rPr>
          <w:rFonts w:hint="eastAsia" w:ascii="楷体_GB2312" w:hAnsi="仿宋" w:eastAsia="楷体_GB2312"/>
          <w:b/>
          <w:kern w:val="0"/>
          <w:sz w:val="32"/>
          <w:szCs w:val="32"/>
        </w:rPr>
        <w:t>（三）绩效评价工作过程</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1、前期准备：行政事务室年底制定评价实施方案，确定现场评价时间。</w:t>
      </w:r>
    </w:p>
    <w:p>
      <w:pPr>
        <w:spacing w:line="600" w:lineRule="exact"/>
        <w:ind w:firstLine="640" w:firstLineChars="200"/>
        <w:rPr>
          <w:rFonts w:hint="eastAsia" w:eastAsia="仿宋_GB2312"/>
          <w:sz w:val="32"/>
          <w:szCs w:val="32"/>
        </w:rPr>
      </w:pPr>
      <w:r>
        <w:rPr>
          <w:rFonts w:hint="eastAsia" w:ascii="仿宋" w:hAnsi="仿宋" w:eastAsia="仿宋" w:cs="仿宋"/>
          <w:sz w:val="32"/>
          <w:szCs w:val="32"/>
        </w:rPr>
        <w:t>2、组织实施。行政事务室做好基础数据资料的收集、整理，填写报表、撰写自评报告，根据有关规定的要求，整理、综合分析相关信息，撰写、修改绩效评价报告初稿，并上报县财政局绩效股。</w:t>
      </w:r>
    </w:p>
    <w:p>
      <w:pPr>
        <w:spacing w:line="600" w:lineRule="exact"/>
        <w:ind w:firstLine="640" w:firstLineChars="200"/>
        <w:rPr>
          <w:rFonts w:eastAsia="黑体"/>
          <w:sz w:val="32"/>
          <w:szCs w:val="32"/>
        </w:rPr>
      </w:pPr>
    </w:p>
    <w:p>
      <w:pPr>
        <w:spacing w:line="600" w:lineRule="exact"/>
        <w:ind w:firstLine="640" w:firstLineChars="200"/>
        <w:rPr>
          <w:rFonts w:eastAsia="黑体"/>
          <w:sz w:val="32"/>
          <w:szCs w:val="32"/>
        </w:rPr>
      </w:pPr>
      <w:r>
        <w:rPr>
          <w:rFonts w:eastAsia="黑体"/>
          <w:sz w:val="32"/>
          <w:szCs w:val="32"/>
        </w:rPr>
        <w:t>六、部门整体支出绩效情况</w:t>
      </w:r>
    </w:p>
    <w:p>
      <w:pPr>
        <w:spacing w:line="600" w:lineRule="exact"/>
        <w:ind w:firstLine="640" w:firstLineChars="200"/>
        <w:rPr>
          <w:rFonts w:hint="eastAsia" w:eastAsia="仿宋_GB2312"/>
          <w:sz w:val="32"/>
          <w:szCs w:val="32"/>
        </w:rPr>
      </w:pPr>
      <w:r>
        <w:rPr>
          <w:rFonts w:hint="eastAsia" w:eastAsia="仿宋_GB2312"/>
          <w:sz w:val="32"/>
          <w:szCs w:val="32"/>
        </w:rPr>
        <w:t>2023年，我校积极履职，强化管理，较好地完成了年度工作目标。通过加强预算收支管理，不断建立健全内部管理制度，梳理内部管理流程，部门整体支出管理水平得到提升。根据部门整体支出绩效评价指标体系，我校2023年度评价得分为99分。部门整体支出绩效情况中，部门资金使用率得分10分，其他分值如下：</w:t>
      </w:r>
    </w:p>
    <w:p>
      <w:pPr>
        <w:pStyle w:val="10"/>
        <w:spacing w:line="600" w:lineRule="exact"/>
        <w:ind w:firstLine="640"/>
        <w:rPr>
          <w:rFonts w:ascii="Times New Roman" w:hAnsi="Times New Roman" w:eastAsia="黑体"/>
          <w:sz w:val="32"/>
          <w:szCs w:val="32"/>
        </w:rPr>
      </w:pPr>
      <w:r>
        <w:rPr>
          <w:rFonts w:ascii="Times New Roman" w:hAnsi="Times New Roman" w:eastAsia="黑体"/>
          <w:sz w:val="32"/>
          <w:szCs w:val="32"/>
        </w:rPr>
        <w:t>七、存在的问题及原因分析</w:t>
      </w:r>
    </w:p>
    <w:p>
      <w:pPr>
        <w:spacing w:line="600" w:lineRule="exact"/>
        <w:ind w:firstLine="640" w:firstLineChars="200"/>
        <w:rPr>
          <w:rFonts w:eastAsia="仿宋_GB2312"/>
          <w:sz w:val="32"/>
          <w:szCs w:val="32"/>
        </w:rPr>
      </w:pPr>
      <w:r>
        <w:rPr>
          <w:rFonts w:hint="eastAsia" w:eastAsia="仿宋_GB2312"/>
          <w:sz w:val="32"/>
          <w:szCs w:val="32"/>
        </w:rPr>
        <w:t xml:space="preserve">1.预算编制工作有待细化。预算编制不够明确和细化，预算编制的合理性需要提高，预算执行力度还要进一步加强。 </w:t>
      </w:r>
    </w:p>
    <w:p>
      <w:pPr>
        <w:spacing w:line="600" w:lineRule="exact"/>
        <w:ind w:firstLine="640" w:firstLineChars="200"/>
        <w:rPr>
          <w:rFonts w:eastAsia="仿宋_GB2312"/>
          <w:sz w:val="32"/>
          <w:szCs w:val="32"/>
        </w:rPr>
      </w:pPr>
      <w:r>
        <w:rPr>
          <w:rFonts w:hint="eastAsia" w:eastAsia="仿宋_GB2312"/>
          <w:sz w:val="32"/>
          <w:szCs w:val="32"/>
        </w:rPr>
        <w:t>2.支出监控机制不完善，难以确保资金的有效利用。</w:t>
      </w:r>
    </w:p>
    <w:p>
      <w:pPr>
        <w:spacing w:line="600" w:lineRule="exact"/>
        <w:ind w:firstLine="640" w:firstLineChars="200"/>
        <w:rPr>
          <w:rFonts w:asciiTheme="minorEastAsia" w:hAnsiTheme="minorEastAsia" w:eastAsiaTheme="minorEastAsia" w:cstheme="minorEastAsia"/>
          <w:sz w:val="28"/>
          <w:szCs w:val="28"/>
        </w:rPr>
      </w:pPr>
      <w:r>
        <w:rPr>
          <w:rFonts w:hint="eastAsia" w:eastAsia="仿宋_GB2312"/>
          <w:sz w:val="32"/>
          <w:szCs w:val="32"/>
        </w:rPr>
        <w:t>3.相关人员对预算业务有待进一步加强。</w:t>
      </w:r>
    </w:p>
    <w:p>
      <w:pPr>
        <w:spacing w:line="600" w:lineRule="exact"/>
        <w:ind w:firstLine="640" w:firstLineChars="200"/>
        <w:rPr>
          <w:rFonts w:eastAsia="黑体"/>
          <w:sz w:val="32"/>
          <w:szCs w:val="32"/>
        </w:rPr>
      </w:pPr>
      <w:r>
        <w:rPr>
          <w:rFonts w:eastAsia="黑体"/>
          <w:sz w:val="32"/>
          <w:szCs w:val="32"/>
        </w:rPr>
        <w:t>八、下一步改进措施</w:t>
      </w:r>
    </w:p>
    <w:p>
      <w:pPr>
        <w:spacing w:line="600" w:lineRule="exact"/>
        <w:ind w:firstLine="640" w:firstLineChars="200"/>
        <w:rPr>
          <w:rFonts w:eastAsia="仿宋_GB2312"/>
          <w:sz w:val="32"/>
          <w:szCs w:val="32"/>
        </w:rPr>
      </w:pPr>
      <w:r>
        <w:rPr>
          <w:rFonts w:hint="eastAsia" w:eastAsia="仿宋_GB2312"/>
          <w:sz w:val="32"/>
          <w:szCs w:val="32"/>
        </w:rPr>
        <w:t>针对上述存在的问题及对外整体支出管理工作的需要，拟实施的改进措施如下：</w:t>
      </w:r>
    </w:p>
    <w:p>
      <w:pPr>
        <w:spacing w:line="600" w:lineRule="exact"/>
        <w:ind w:firstLine="640" w:firstLineChars="200"/>
        <w:rPr>
          <w:rFonts w:eastAsia="仿宋_GB2312"/>
          <w:sz w:val="32"/>
          <w:szCs w:val="32"/>
        </w:rPr>
      </w:pPr>
      <w:r>
        <w:rPr>
          <w:rFonts w:hint="eastAsia" w:eastAsia="仿宋_GB2312"/>
          <w:sz w:val="32"/>
          <w:szCs w:val="32"/>
        </w:rPr>
        <w:t>1.细化预算编制工作，认真做好预算的编制。进一步加强单位内部机构各股室的预算管理意识，严格按照预算编制的相关制度和要求进行预算编制；全面编制预算项目，优先保障固定性的、相对刚性的费用支出项目，尽量压缩变动性的、有控制空间的费用项目，进一步提高预算编制的科学性、严谨性和可控性。加强内部预算编制的审核和预算控制指标的下达。</w:t>
      </w:r>
    </w:p>
    <w:p>
      <w:pPr>
        <w:spacing w:line="600" w:lineRule="exact"/>
        <w:ind w:firstLine="640" w:firstLineChars="200"/>
        <w:rPr>
          <w:rFonts w:eastAsia="仿宋_GB2312"/>
          <w:sz w:val="32"/>
          <w:szCs w:val="32"/>
        </w:rPr>
      </w:pPr>
      <w:r>
        <w:rPr>
          <w:rFonts w:hint="eastAsia" w:eastAsia="仿宋_GB2312"/>
          <w:sz w:val="32"/>
          <w:szCs w:val="32"/>
        </w:rPr>
        <w:t>2.优化支出结构，促进教育资源均衡配置。根据教学科研实际需要，合理配置资源，确保重点领域和薄弱环节得到优先保障。</w:t>
      </w:r>
    </w:p>
    <w:p>
      <w:pPr>
        <w:spacing w:line="600" w:lineRule="exact"/>
        <w:ind w:firstLine="640" w:firstLineChars="200"/>
        <w:rPr>
          <w:rFonts w:eastAsia="仿宋_GB2312"/>
          <w:sz w:val="32"/>
          <w:szCs w:val="32"/>
        </w:rPr>
      </w:pPr>
      <w:r>
        <w:rPr>
          <w:rFonts w:hint="eastAsia" w:eastAsia="仿宋_GB2312"/>
          <w:sz w:val="32"/>
          <w:szCs w:val="32"/>
        </w:rPr>
        <w:t>3.对相关人员加强培训，特别是针对《预算法》《行政事业单位会计制度》等学习培训，规范部门预算收支核算，切实提高部门预算收支管理水平。</w:t>
      </w:r>
    </w:p>
    <w:p>
      <w:pPr>
        <w:spacing w:line="600" w:lineRule="exact"/>
        <w:ind w:firstLine="640" w:firstLineChars="200"/>
        <w:rPr>
          <w:rFonts w:eastAsia="黑体"/>
          <w:sz w:val="32"/>
          <w:szCs w:val="32"/>
        </w:rPr>
      </w:pPr>
      <w:r>
        <w:rPr>
          <w:rFonts w:eastAsia="黑体"/>
          <w:sz w:val="32"/>
          <w:szCs w:val="32"/>
        </w:rPr>
        <w:t>九、绩效自评结果拟应用和公开情况</w:t>
      </w:r>
    </w:p>
    <w:p>
      <w:pPr>
        <w:spacing w:line="600" w:lineRule="exact"/>
        <w:ind w:firstLine="640" w:firstLineChars="200"/>
        <w:rPr>
          <w:rFonts w:eastAsia="仿宋_GB2312"/>
          <w:sz w:val="32"/>
          <w:szCs w:val="32"/>
        </w:rPr>
      </w:pPr>
      <w:r>
        <w:rPr>
          <w:rFonts w:hint="eastAsia" w:eastAsia="仿宋_GB2312"/>
          <w:sz w:val="32"/>
          <w:szCs w:val="32"/>
        </w:rPr>
        <w:t>我校根据教育部门和上级主管部门的要求，认真开展了绩效自评工作。经过自评，学校在教育教学、管理服务和创新发展等方面取得了显著成绩，整体绩效水平较高。</w:t>
      </w:r>
    </w:p>
    <w:p>
      <w:pPr>
        <w:spacing w:line="600" w:lineRule="exact"/>
        <w:ind w:firstLine="640" w:firstLineChars="200"/>
        <w:rPr>
          <w:rFonts w:eastAsia="仿宋_GB2312"/>
          <w:sz w:val="32"/>
          <w:szCs w:val="32"/>
        </w:rPr>
      </w:pPr>
      <w:r>
        <w:rPr>
          <w:rFonts w:hint="eastAsia" w:eastAsia="仿宋_GB2312"/>
          <w:sz w:val="32"/>
          <w:szCs w:val="32"/>
        </w:rPr>
        <w:t>为充分发挥绩效自评结果的激励和导向作用，学校将自评结果应用于以下几个方面：一是优化资源配置，提升教育教学质量；二是加强内部管理，提高管理效能；三是推动创新发展，增强学校核心竞争力。</w:t>
      </w:r>
    </w:p>
    <w:p>
      <w:pPr>
        <w:spacing w:line="600" w:lineRule="exact"/>
        <w:ind w:firstLine="640" w:firstLineChars="200"/>
        <w:rPr>
          <w:rFonts w:eastAsia="仿宋_GB2312"/>
          <w:sz w:val="32"/>
          <w:szCs w:val="32"/>
        </w:rPr>
      </w:pPr>
      <w:r>
        <w:rPr>
          <w:rFonts w:hint="eastAsia" w:eastAsia="仿宋_GB2312"/>
          <w:sz w:val="32"/>
          <w:szCs w:val="32"/>
        </w:rPr>
        <w:t>同时，学校将自评结果以适当方式向全校师生和社会公众公开，接受监督。公开内容包括自评报告、绩效指标数据和改进措施等，确保信息的真实性和准确性。</w:t>
      </w:r>
    </w:p>
    <w:p>
      <w:pPr>
        <w:spacing w:line="600" w:lineRule="exact"/>
        <w:ind w:firstLine="640" w:firstLineChars="200"/>
        <w:rPr>
          <w:sz w:val="30"/>
          <w:szCs w:val="30"/>
        </w:rPr>
      </w:pPr>
      <w:r>
        <w:rPr>
          <w:rFonts w:hint="eastAsia" w:eastAsia="仿宋_GB2312"/>
          <w:sz w:val="32"/>
          <w:szCs w:val="32"/>
        </w:rPr>
        <w:t>通过自评结果的应用和公开，学校将不断提升整体绩效水平，为师生提供更优质的教育服务，为社会发展做出更大贡献。</w:t>
      </w:r>
    </w:p>
    <w:p>
      <w:pPr>
        <w:spacing w:line="600" w:lineRule="exact"/>
        <w:ind w:firstLine="640" w:firstLineChars="200"/>
        <w:rPr>
          <w:rFonts w:hint="eastAsia" w:eastAsia="仿宋_GB2312"/>
          <w:sz w:val="32"/>
          <w:szCs w:val="32"/>
        </w:rPr>
      </w:pPr>
    </w:p>
    <w:p>
      <w:pPr>
        <w:spacing w:line="600" w:lineRule="exact"/>
        <w:ind w:firstLine="640" w:firstLineChars="200"/>
        <w:rPr>
          <w:rFonts w:hint="eastAsia" w:eastAsia="仿宋_GB2312"/>
          <w:sz w:val="32"/>
          <w:szCs w:val="32"/>
        </w:rPr>
      </w:pPr>
    </w:p>
    <w:p>
      <w:pPr>
        <w:spacing w:line="600" w:lineRule="exact"/>
        <w:ind w:firstLine="640" w:firstLineChars="200"/>
        <w:rPr>
          <w:rFonts w:hint="eastAsia" w:eastAsia="仿宋_GB2312"/>
          <w:sz w:val="32"/>
          <w:szCs w:val="32"/>
        </w:rPr>
      </w:pPr>
    </w:p>
    <w:p>
      <w:pPr>
        <w:spacing w:line="600" w:lineRule="exact"/>
        <w:ind w:firstLine="640" w:firstLineChars="200"/>
        <w:rPr>
          <w:rFonts w:hint="eastAsia" w:eastAsia="仿宋_GB2312"/>
          <w:sz w:val="32"/>
          <w:szCs w:val="32"/>
        </w:rPr>
      </w:pPr>
    </w:p>
    <w:p>
      <w:pPr>
        <w:spacing w:line="600" w:lineRule="exact"/>
        <w:ind w:firstLine="640" w:firstLineChars="200"/>
        <w:rPr>
          <w:rFonts w:hint="eastAsia" w:eastAsia="仿宋_GB2312"/>
          <w:sz w:val="32"/>
          <w:szCs w:val="32"/>
        </w:rPr>
      </w:pPr>
    </w:p>
    <w:p>
      <w:pPr>
        <w:spacing w:line="600" w:lineRule="exact"/>
        <w:ind w:firstLine="640" w:firstLineChars="200"/>
        <w:rPr>
          <w:rFonts w:hint="eastAsia" w:eastAsia="仿宋_GB2312"/>
          <w:sz w:val="32"/>
          <w:szCs w:val="32"/>
        </w:rPr>
      </w:pPr>
    </w:p>
    <w:p>
      <w:pPr>
        <w:spacing w:line="600" w:lineRule="exact"/>
        <w:ind w:firstLine="640" w:firstLineChars="200"/>
        <w:rPr>
          <w:rFonts w:hint="eastAsia" w:eastAsia="仿宋_GB2312"/>
          <w:sz w:val="32"/>
          <w:szCs w:val="32"/>
        </w:rPr>
      </w:pPr>
    </w:p>
    <w:p>
      <w:pPr>
        <w:spacing w:line="600" w:lineRule="exact"/>
        <w:ind w:firstLine="640" w:firstLineChars="200"/>
        <w:rPr>
          <w:rFonts w:hint="eastAsia" w:eastAsia="仿宋_GB2312"/>
          <w:sz w:val="32"/>
          <w:szCs w:val="32"/>
        </w:rPr>
      </w:pPr>
    </w:p>
    <w:tbl>
      <w:tblPr>
        <w:tblStyle w:val="7"/>
        <w:tblW w:w="11339" w:type="dxa"/>
        <w:tblInd w:w="-132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275"/>
        <w:gridCol w:w="1970"/>
        <w:gridCol w:w="1100"/>
        <w:gridCol w:w="1027"/>
        <w:gridCol w:w="1234"/>
        <w:gridCol w:w="1025"/>
        <w:gridCol w:w="70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11339"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6"/>
                <w:szCs w:val="36"/>
                <w:u w:val="none"/>
              </w:rPr>
            </w:pPr>
            <w:r>
              <w:rPr>
                <w:rFonts w:hint="eastAsia" w:ascii="宋体" w:hAnsi="宋体" w:eastAsia="宋体" w:cs="宋体"/>
                <w:b/>
                <w:bCs/>
                <w:i w:val="0"/>
                <w:iCs w:val="0"/>
                <w:color w:val="000000"/>
                <w:kern w:val="0"/>
                <w:sz w:val="36"/>
                <w:szCs w:val="36"/>
                <w:u w:val="none"/>
                <w:lang w:val="en-US" w:eastAsia="zh-CN" w:bidi="ar"/>
              </w:rPr>
              <w:t>江永县第二中学部门整体支出绩效评价基础数据表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4275"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财政供养人员情况</w:t>
            </w:r>
          </w:p>
        </w:tc>
        <w:tc>
          <w:tcPr>
            <w:tcW w:w="307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编制数</w:t>
            </w:r>
          </w:p>
        </w:tc>
        <w:tc>
          <w:tcPr>
            <w:tcW w:w="226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2023年实际在职人数</w:t>
            </w:r>
          </w:p>
        </w:tc>
        <w:tc>
          <w:tcPr>
            <w:tcW w:w="173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控制率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427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2"/>
                <w:szCs w:val="22"/>
                <w:u w:val="none"/>
              </w:rPr>
            </w:pPr>
          </w:p>
        </w:tc>
        <w:tc>
          <w:tcPr>
            <w:tcW w:w="307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174</w:t>
            </w:r>
          </w:p>
        </w:tc>
        <w:tc>
          <w:tcPr>
            <w:tcW w:w="226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174</w:t>
            </w:r>
          </w:p>
        </w:tc>
        <w:tc>
          <w:tcPr>
            <w:tcW w:w="173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4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经费控制情况(万元)</w:t>
            </w:r>
          </w:p>
        </w:tc>
        <w:tc>
          <w:tcPr>
            <w:tcW w:w="307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2022年决算数</w:t>
            </w:r>
          </w:p>
        </w:tc>
        <w:tc>
          <w:tcPr>
            <w:tcW w:w="226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2023年预算数</w:t>
            </w:r>
          </w:p>
        </w:tc>
        <w:tc>
          <w:tcPr>
            <w:tcW w:w="173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2023年决算数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4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三公经费</w:t>
            </w:r>
          </w:p>
        </w:tc>
        <w:tc>
          <w:tcPr>
            <w:tcW w:w="307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0.8</w:t>
            </w:r>
          </w:p>
        </w:tc>
        <w:tc>
          <w:tcPr>
            <w:tcW w:w="226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w:t>
            </w:r>
          </w:p>
        </w:tc>
        <w:tc>
          <w:tcPr>
            <w:tcW w:w="173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4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1、公务用车购置和维护经费</w:t>
            </w:r>
          </w:p>
        </w:tc>
        <w:tc>
          <w:tcPr>
            <w:tcW w:w="307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c>
          <w:tcPr>
            <w:tcW w:w="226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c>
          <w:tcPr>
            <w:tcW w:w="173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4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其中：公车购置</w:t>
            </w:r>
          </w:p>
        </w:tc>
        <w:tc>
          <w:tcPr>
            <w:tcW w:w="307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c>
          <w:tcPr>
            <w:tcW w:w="226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c>
          <w:tcPr>
            <w:tcW w:w="173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4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公车运行维护</w:t>
            </w:r>
          </w:p>
        </w:tc>
        <w:tc>
          <w:tcPr>
            <w:tcW w:w="307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c>
          <w:tcPr>
            <w:tcW w:w="226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c>
          <w:tcPr>
            <w:tcW w:w="173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4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2、出国经费</w:t>
            </w:r>
          </w:p>
        </w:tc>
        <w:tc>
          <w:tcPr>
            <w:tcW w:w="307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c>
          <w:tcPr>
            <w:tcW w:w="226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c>
          <w:tcPr>
            <w:tcW w:w="173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4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3、公务接待</w:t>
            </w:r>
          </w:p>
        </w:tc>
        <w:tc>
          <w:tcPr>
            <w:tcW w:w="307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0.8</w:t>
            </w:r>
          </w:p>
        </w:tc>
        <w:tc>
          <w:tcPr>
            <w:tcW w:w="226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w:t>
            </w:r>
          </w:p>
        </w:tc>
        <w:tc>
          <w:tcPr>
            <w:tcW w:w="173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4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项目支出：</w:t>
            </w:r>
          </w:p>
        </w:tc>
        <w:tc>
          <w:tcPr>
            <w:tcW w:w="307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c>
          <w:tcPr>
            <w:tcW w:w="226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661</w:t>
            </w:r>
          </w:p>
        </w:tc>
        <w:tc>
          <w:tcPr>
            <w:tcW w:w="173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661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4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1、业务工作经费</w:t>
            </w:r>
          </w:p>
        </w:tc>
        <w:tc>
          <w:tcPr>
            <w:tcW w:w="307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226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73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4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2、运行维护经费</w:t>
            </w:r>
          </w:p>
        </w:tc>
        <w:tc>
          <w:tcPr>
            <w:tcW w:w="307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226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73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4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3、本级专项资金（一个专项一行）</w:t>
            </w:r>
          </w:p>
        </w:tc>
        <w:tc>
          <w:tcPr>
            <w:tcW w:w="307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c>
          <w:tcPr>
            <w:tcW w:w="226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661</w:t>
            </w:r>
          </w:p>
        </w:tc>
        <w:tc>
          <w:tcPr>
            <w:tcW w:w="173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661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4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二中校园建设</w:t>
            </w:r>
          </w:p>
        </w:tc>
        <w:tc>
          <w:tcPr>
            <w:tcW w:w="307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226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650</w:t>
            </w:r>
          </w:p>
        </w:tc>
        <w:tc>
          <w:tcPr>
            <w:tcW w:w="173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4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二中事业发展经费</w:t>
            </w:r>
          </w:p>
        </w:tc>
        <w:tc>
          <w:tcPr>
            <w:tcW w:w="307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226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173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4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公用经费：</w:t>
            </w:r>
          </w:p>
        </w:tc>
        <w:tc>
          <w:tcPr>
            <w:tcW w:w="307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226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73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4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其中：办公经费</w:t>
            </w:r>
          </w:p>
        </w:tc>
        <w:tc>
          <w:tcPr>
            <w:tcW w:w="307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226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219.4</w:t>
            </w:r>
          </w:p>
        </w:tc>
        <w:tc>
          <w:tcPr>
            <w:tcW w:w="173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219.4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4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水费、电费、差旅费</w:t>
            </w:r>
          </w:p>
        </w:tc>
        <w:tc>
          <w:tcPr>
            <w:tcW w:w="307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226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62.1</w:t>
            </w:r>
          </w:p>
        </w:tc>
        <w:tc>
          <w:tcPr>
            <w:tcW w:w="173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62.1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4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会议费、培训费</w:t>
            </w:r>
          </w:p>
        </w:tc>
        <w:tc>
          <w:tcPr>
            <w:tcW w:w="307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226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51.7</w:t>
            </w:r>
          </w:p>
        </w:tc>
        <w:tc>
          <w:tcPr>
            <w:tcW w:w="173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4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政府采购金额</w:t>
            </w:r>
          </w:p>
        </w:tc>
        <w:tc>
          <w:tcPr>
            <w:tcW w:w="307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226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73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4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部门基本支出预算调整 </w:t>
            </w:r>
          </w:p>
        </w:tc>
        <w:tc>
          <w:tcPr>
            <w:tcW w:w="307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226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73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42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 xml:space="preserve">楼堂馆所控制情况 </w:t>
            </w:r>
            <w:r>
              <w:rPr>
                <w:rFonts w:hint="eastAsia" w:ascii="宋体" w:hAnsi="宋体" w:eastAsia="宋体" w:cs="宋体"/>
                <w:b/>
                <w:bCs/>
                <w:i w:val="0"/>
                <w:iCs w:val="0"/>
                <w:color w:val="000000"/>
                <w:kern w:val="0"/>
                <w:sz w:val="22"/>
                <w:szCs w:val="22"/>
                <w:u w:val="none"/>
                <w:lang w:val="en-US" w:eastAsia="zh-CN" w:bidi="ar"/>
              </w:rPr>
              <w:br w:type="textWrapping"/>
            </w:r>
            <w:r>
              <w:rPr>
                <w:rFonts w:hint="eastAsia" w:ascii="宋体" w:hAnsi="宋体" w:eastAsia="宋体" w:cs="宋体"/>
                <w:b/>
                <w:bCs/>
                <w:i w:val="0"/>
                <w:iCs w:val="0"/>
                <w:color w:val="000000"/>
                <w:kern w:val="0"/>
                <w:sz w:val="22"/>
                <w:szCs w:val="22"/>
                <w:u w:val="none"/>
                <w:lang w:val="en-US" w:eastAsia="zh-CN" w:bidi="ar"/>
              </w:rPr>
              <w:t>（2023年完工项目）</w:t>
            </w:r>
          </w:p>
        </w:tc>
        <w:tc>
          <w:tcPr>
            <w:tcW w:w="1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 xml:space="preserve">批复规模 </w:t>
            </w:r>
            <w:r>
              <w:rPr>
                <w:rFonts w:hint="eastAsia" w:ascii="宋体" w:hAnsi="宋体" w:eastAsia="宋体" w:cs="宋体"/>
                <w:b/>
                <w:bCs/>
                <w:i w:val="0"/>
                <w:iCs w:val="0"/>
                <w:color w:val="000000"/>
                <w:kern w:val="0"/>
                <w:sz w:val="22"/>
                <w:szCs w:val="22"/>
                <w:u w:val="none"/>
                <w:lang w:val="en-US" w:eastAsia="zh-CN" w:bidi="ar"/>
              </w:rPr>
              <w:br w:type="textWrapping"/>
            </w:r>
            <w:r>
              <w:rPr>
                <w:rFonts w:hint="eastAsia" w:ascii="宋体" w:hAnsi="宋体" w:eastAsia="宋体" w:cs="宋体"/>
                <w:b/>
                <w:bCs/>
                <w:i w:val="0"/>
                <w:iCs w:val="0"/>
                <w:color w:val="000000"/>
                <w:kern w:val="0"/>
                <w:sz w:val="22"/>
                <w:szCs w:val="22"/>
                <w:u w:val="none"/>
                <w:lang w:val="en-US" w:eastAsia="zh-CN" w:bidi="ar"/>
              </w:rPr>
              <w:t>（㎡）</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br w:type="textWrapping"/>
            </w:r>
            <w:r>
              <w:rPr>
                <w:rFonts w:hint="eastAsia" w:ascii="宋体" w:hAnsi="宋体" w:eastAsia="宋体" w:cs="宋体"/>
                <w:b/>
                <w:bCs/>
                <w:i w:val="0"/>
                <w:iCs w:val="0"/>
                <w:color w:val="000000"/>
                <w:kern w:val="0"/>
                <w:sz w:val="22"/>
                <w:szCs w:val="22"/>
                <w:u w:val="none"/>
                <w:lang w:val="en-US" w:eastAsia="zh-CN" w:bidi="ar"/>
              </w:rPr>
              <w:t>实际规模</w:t>
            </w:r>
            <w:r>
              <w:rPr>
                <w:rFonts w:hint="eastAsia" w:ascii="宋体" w:hAnsi="宋体" w:eastAsia="宋体" w:cs="宋体"/>
                <w:b/>
                <w:bCs/>
                <w:i w:val="0"/>
                <w:iCs w:val="0"/>
                <w:color w:val="000000"/>
                <w:kern w:val="0"/>
                <w:sz w:val="22"/>
                <w:szCs w:val="22"/>
                <w:u w:val="none"/>
                <w:lang w:val="en-US" w:eastAsia="zh-CN" w:bidi="ar"/>
              </w:rPr>
              <w:br w:type="textWrapping"/>
            </w:r>
            <w:r>
              <w:rPr>
                <w:rFonts w:hint="eastAsia" w:ascii="宋体" w:hAnsi="宋体" w:eastAsia="宋体" w:cs="宋体"/>
                <w:b/>
                <w:bCs/>
                <w:i w:val="0"/>
                <w:iCs w:val="0"/>
                <w:color w:val="000000"/>
                <w:kern w:val="0"/>
                <w:sz w:val="22"/>
                <w:szCs w:val="22"/>
                <w:u w:val="none"/>
                <w:lang w:val="en-US" w:eastAsia="zh-CN" w:bidi="ar"/>
              </w:rPr>
              <w:t>（㎡）</w:t>
            </w:r>
          </w:p>
        </w:tc>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规模控制率</w:t>
            </w:r>
          </w:p>
        </w:tc>
        <w:tc>
          <w:tcPr>
            <w:tcW w:w="12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预算投资</w:t>
            </w:r>
            <w:r>
              <w:rPr>
                <w:rFonts w:hint="eastAsia" w:ascii="宋体" w:hAnsi="宋体" w:eastAsia="宋体" w:cs="宋体"/>
                <w:b/>
                <w:bCs/>
                <w:i w:val="0"/>
                <w:iCs w:val="0"/>
                <w:color w:val="000000"/>
                <w:kern w:val="0"/>
                <w:sz w:val="22"/>
                <w:szCs w:val="22"/>
                <w:u w:val="none"/>
                <w:lang w:val="en-US" w:eastAsia="zh-CN" w:bidi="ar"/>
              </w:rPr>
              <w:br w:type="textWrapping"/>
            </w:r>
            <w:r>
              <w:rPr>
                <w:rFonts w:hint="eastAsia" w:ascii="宋体" w:hAnsi="宋体" w:eastAsia="宋体" w:cs="宋体"/>
                <w:b/>
                <w:bCs/>
                <w:i w:val="0"/>
                <w:iCs w:val="0"/>
                <w:color w:val="000000"/>
                <w:kern w:val="0"/>
                <w:sz w:val="22"/>
                <w:szCs w:val="22"/>
                <w:u w:val="none"/>
                <w:lang w:val="en-US" w:eastAsia="zh-CN" w:bidi="ar"/>
              </w:rPr>
              <w:t>（万元）</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实际投资</w:t>
            </w:r>
            <w:r>
              <w:rPr>
                <w:rFonts w:hint="eastAsia" w:ascii="宋体" w:hAnsi="宋体" w:eastAsia="宋体" w:cs="宋体"/>
                <w:b/>
                <w:bCs/>
                <w:i w:val="0"/>
                <w:iCs w:val="0"/>
                <w:color w:val="000000"/>
                <w:kern w:val="0"/>
                <w:sz w:val="22"/>
                <w:szCs w:val="22"/>
                <w:u w:val="none"/>
                <w:lang w:val="en-US" w:eastAsia="zh-CN" w:bidi="ar"/>
              </w:rPr>
              <w:br w:type="textWrapping"/>
            </w:r>
            <w:r>
              <w:rPr>
                <w:rFonts w:hint="eastAsia" w:ascii="宋体" w:hAnsi="宋体" w:eastAsia="宋体" w:cs="宋体"/>
                <w:b/>
                <w:bCs/>
                <w:i w:val="0"/>
                <w:iCs w:val="0"/>
                <w:color w:val="000000"/>
                <w:kern w:val="0"/>
                <w:sz w:val="22"/>
                <w:szCs w:val="22"/>
                <w:u w:val="none"/>
                <w:lang w:val="en-US" w:eastAsia="zh-CN" w:bidi="ar"/>
              </w:rPr>
              <w:t>（万元）</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投资概算控制率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42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2"/>
                <w:szCs w:val="22"/>
                <w:u w:val="none"/>
              </w:rPr>
            </w:pPr>
          </w:p>
        </w:tc>
        <w:tc>
          <w:tcPr>
            <w:tcW w:w="19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0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2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bl>
    <w:p>
      <w:pPr>
        <w:spacing w:line="600" w:lineRule="exact"/>
        <w:rPr>
          <w:rFonts w:eastAsia="仿宋_GB2312"/>
          <w:sz w:val="32"/>
          <w:szCs w:val="32"/>
        </w:rPr>
      </w:pPr>
    </w:p>
    <w:p>
      <w:pPr>
        <w:spacing w:line="600" w:lineRule="exact"/>
        <w:rPr>
          <w:rFonts w:eastAsia="仿宋_GB2312"/>
          <w:sz w:val="32"/>
          <w:szCs w:val="32"/>
        </w:rPr>
      </w:pPr>
    </w:p>
    <w:p>
      <w:pPr>
        <w:spacing w:line="600" w:lineRule="exact"/>
        <w:rPr>
          <w:rFonts w:eastAsia="仿宋_GB2312"/>
          <w:sz w:val="32"/>
          <w:szCs w:val="32"/>
        </w:rPr>
      </w:pPr>
    </w:p>
    <w:p>
      <w:pPr>
        <w:spacing w:line="600" w:lineRule="exact"/>
        <w:rPr>
          <w:rFonts w:eastAsia="仿宋_GB2312"/>
          <w:sz w:val="32"/>
          <w:szCs w:val="32"/>
        </w:rPr>
      </w:pPr>
    </w:p>
    <w:tbl>
      <w:tblPr>
        <w:tblStyle w:val="7"/>
        <w:tblW w:w="13897" w:type="dxa"/>
        <w:tblInd w:w="-113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85"/>
        <w:gridCol w:w="1350"/>
        <w:gridCol w:w="135"/>
        <w:gridCol w:w="810"/>
        <w:gridCol w:w="705"/>
        <w:gridCol w:w="446"/>
        <w:gridCol w:w="994"/>
        <w:gridCol w:w="990"/>
        <w:gridCol w:w="1575"/>
        <w:gridCol w:w="1125"/>
        <w:gridCol w:w="840"/>
        <w:gridCol w:w="1492"/>
        <w:gridCol w:w="1110"/>
        <w:gridCol w:w="119"/>
        <w:gridCol w:w="667"/>
        <w:gridCol w:w="35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354" w:type="dxa"/>
          <w:trHeight w:val="720" w:hRule="atLeast"/>
        </w:trPr>
        <w:tc>
          <w:tcPr>
            <w:tcW w:w="12876" w:type="dxa"/>
            <w:gridSpan w:val="14"/>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江永县第二中学部门整体支出绩效自评表</w:t>
            </w:r>
          </w:p>
        </w:tc>
        <w:tc>
          <w:tcPr>
            <w:tcW w:w="667" w:type="dxa"/>
            <w:tcBorders>
              <w:top w:val="nil"/>
              <w:left w:val="nil"/>
              <w:bottom w:val="nil"/>
              <w:right w:val="nil"/>
            </w:tcBorders>
            <w:shd w:val="clear" w:color="auto" w:fill="auto"/>
            <w:noWrap/>
            <w:vAlign w:val="center"/>
          </w:tcPr>
          <w:p>
            <w:pP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354" w:type="dxa"/>
          <w:trHeight w:val="848" w:hRule="atLeast"/>
        </w:trPr>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18"/>
                <w:szCs w:val="18"/>
                <w:u w:val="none"/>
              </w:rPr>
            </w:pPr>
            <w:r>
              <w:rPr>
                <w:rFonts w:hint="eastAsia" w:ascii="微软雅黑" w:hAnsi="微软雅黑" w:eastAsia="微软雅黑" w:cs="微软雅黑"/>
                <w:b/>
                <w:bCs/>
                <w:i w:val="0"/>
                <w:iCs w:val="0"/>
                <w:color w:val="000000"/>
                <w:kern w:val="0"/>
                <w:sz w:val="18"/>
                <w:szCs w:val="18"/>
                <w:u w:val="none"/>
                <w:lang w:val="en-US" w:eastAsia="zh-CN" w:bidi="ar"/>
              </w:rPr>
              <w:t>预算部门名称</w:t>
            </w:r>
          </w:p>
        </w:tc>
        <w:tc>
          <w:tcPr>
            <w:tcW w:w="12358" w:type="dxa"/>
            <w:gridSpan w:val="1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江永县第二中学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354" w:type="dxa"/>
          <w:trHeight w:val="803" w:hRule="atLeast"/>
        </w:trPr>
        <w:tc>
          <w:tcPr>
            <w:tcW w:w="11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年度预算申请</w:t>
            </w:r>
            <w:r>
              <w:rPr>
                <w:rFonts w:hint="eastAsia" w:ascii="微软雅黑" w:hAnsi="微软雅黑" w:eastAsia="微软雅黑" w:cs="微软雅黑"/>
                <w:i w:val="0"/>
                <w:iCs w:val="0"/>
                <w:color w:val="000000"/>
                <w:kern w:val="0"/>
                <w:sz w:val="18"/>
                <w:szCs w:val="18"/>
                <w:u w:val="none"/>
                <w:lang w:val="en-US" w:eastAsia="zh-CN" w:bidi="ar"/>
              </w:rPr>
              <w:br w:type="textWrapping"/>
            </w:r>
            <w:r>
              <w:rPr>
                <w:rFonts w:hint="eastAsia" w:ascii="微软雅黑" w:hAnsi="微软雅黑" w:eastAsia="微软雅黑" w:cs="微软雅黑"/>
                <w:i w:val="0"/>
                <w:iCs w:val="0"/>
                <w:color w:val="000000"/>
                <w:kern w:val="0"/>
                <w:sz w:val="18"/>
                <w:szCs w:val="18"/>
                <w:u w:val="none"/>
                <w:lang w:val="en-US" w:eastAsia="zh-CN" w:bidi="ar"/>
              </w:rPr>
              <w:t>(万元)</w:t>
            </w:r>
          </w:p>
        </w:tc>
        <w:tc>
          <w:tcPr>
            <w:tcW w:w="14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8"/>
                <w:szCs w:val="18"/>
                <w:u w:val="none"/>
              </w:rPr>
            </w:pPr>
          </w:p>
        </w:tc>
        <w:tc>
          <w:tcPr>
            <w:tcW w:w="15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18"/>
                <w:szCs w:val="18"/>
                <w:u w:val="none"/>
              </w:rPr>
            </w:pPr>
            <w:r>
              <w:rPr>
                <w:rFonts w:hint="eastAsia" w:ascii="微软雅黑" w:hAnsi="微软雅黑" w:eastAsia="微软雅黑" w:cs="微软雅黑"/>
                <w:b/>
                <w:bCs/>
                <w:i w:val="0"/>
                <w:iCs w:val="0"/>
                <w:color w:val="000000"/>
                <w:kern w:val="0"/>
                <w:sz w:val="18"/>
                <w:szCs w:val="18"/>
                <w:u w:val="none"/>
                <w:lang w:val="en-US" w:eastAsia="zh-CN" w:bidi="ar"/>
              </w:rPr>
              <w:t>年初预算数(万元)</w:t>
            </w:r>
          </w:p>
        </w:tc>
        <w:tc>
          <w:tcPr>
            <w:tcW w:w="14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18"/>
                <w:szCs w:val="18"/>
                <w:u w:val="none"/>
              </w:rPr>
            </w:pPr>
            <w:r>
              <w:rPr>
                <w:rFonts w:hint="eastAsia" w:ascii="微软雅黑" w:hAnsi="微软雅黑" w:eastAsia="微软雅黑" w:cs="微软雅黑"/>
                <w:b/>
                <w:bCs/>
                <w:i w:val="0"/>
                <w:iCs w:val="0"/>
                <w:color w:val="000000"/>
                <w:kern w:val="0"/>
                <w:sz w:val="18"/>
                <w:szCs w:val="18"/>
                <w:u w:val="none"/>
                <w:lang w:val="en-US" w:eastAsia="zh-CN" w:bidi="ar"/>
              </w:rPr>
              <w:t>全年预算数（万元）</w:t>
            </w: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18"/>
                <w:szCs w:val="18"/>
                <w:u w:val="none"/>
              </w:rPr>
            </w:pPr>
            <w:r>
              <w:rPr>
                <w:rFonts w:hint="eastAsia" w:ascii="微软雅黑" w:hAnsi="微软雅黑" w:eastAsia="微软雅黑" w:cs="微软雅黑"/>
                <w:b/>
                <w:bCs/>
                <w:i w:val="0"/>
                <w:iCs w:val="0"/>
                <w:color w:val="000000"/>
                <w:kern w:val="0"/>
                <w:sz w:val="18"/>
                <w:szCs w:val="18"/>
                <w:u w:val="none"/>
                <w:lang w:val="en-US" w:eastAsia="zh-CN" w:bidi="ar"/>
              </w:rPr>
              <w:t>全年执行数（万元）</w:t>
            </w:r>
          </w:p>
        </w:tc>
        <w:tc>
          <w:tcPr>
            <w:tcW w:w="503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18"/>
                <w:szCs w:val="18"/>
                <w:u w:val="none"/>
              </w:rPr>
            </w:pPr>
            <w:r>
              <w:rPr>
                <w:rFonts w:hint="eastAsia" w:ascii="微软雅黑" w:hAnsi="微软雅黑" w:eastAsia="微软雅黑" w:cs="微软雅黑"/>
                <w:b/>
                <w:bCs/>
                <w:i w:val="0"/>
                <w:iCs w:val="0"/>
                <w:color w:val="000000"/>
                <w:kern w:val="0"/>
                <w:sz w:val="18"/>
                <w:szCs w:val="18"/>
                <w:u w:val="none"/>
                <w:lang w:val="en-US" w:eastAsia="zh-CN" w:bidi="ar"/>
              </w:rPr>
              <w:t>分值</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18"/>
                <w:szCs w:val="18"/>
                <w:u w:val="none"/>
              </w:rPr>
            </w:pPr>
            <w:r>
              <w:rPr>
                <w:rFonts w:hint="eastAsia" w:ascii="微软雅黑" w:hAnsi="微软雅黑" w:eastAsia="微软雅黑" w:cs="微软雅黑"/>
                <w:b/>
                <w:bCs/>
                <w:i w:val="0"/>
                <w:iCs w:val="0"/>
                <w:color w:val="000000"/>
                <w:kern w:val="0"/>
                <w:sz w:val="18"/>
                <w:szCs w:val="18"/>
                <w:u w:val="none"/>
                <w:lang w:val="en-US" w:eastAsia="zh-CN" w:bidi="ar"/>
              </w:rPr>
              <w:t>执行率</w:t>
            </w:r>
          </w:p>
        </w:tc>
        <w:tc>
          <w:tcPr>
            <w:tcW w:w="7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18"/>
                <w:szCs w:val="18"/>
                <w:u w:val="none"/>
              </w:rPr>
            </w:pPr>
            <w:r>
              <w:rPr>
                <w:rFonts w:hint="eastAsia" w:ascii="微软雅黑" w:hAnsi="微软雅黑" w:eastAsia="微软雅黑" w:cs="微软雅黑"/>
                <w:b/>
                <w:bCs/>
                <w:i w:val="0"/>
                <w:iCs w:val="0"/>
                <w:color w:val="000000"/>
                <w:kern w:val="0"/>
                <w:sz w:val="18"/>
                <w:szCs w:val="18"/>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354" w:type="dxa"/>
          <w:trHeight w:val="600" w:hRule="atLeast"/>
        </w:trPr>
        <w:tc>
          <w:tcPr>
            <w:tcW w:w="11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8"/>
                <w:szCs w:val="18"/>
                <w:u w:val="none"/>
              </w:rPr>
            </w:pPr>
          </w:p>
        </w:tc>
        <w:tc>
          <w:tcPr>
            <w:tcW w:w="14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18"/>
                <w:szCs w:val="18"/>
                <w:u w:val="none"/>
              </w:rPr>
            </w:pPr>
            <w:r>
              <w:rPr>
                <w:rFonts w:hint="eastAsia" w:ascii="微软雅黑" w:hAnsi="微软雅黑" w:eastAsia="微软雅黑" w:cs="微软雅黑"/>
                <w:b/>
                <w:bCs/>
                <w:i w:val="0"/>
                <w:iCs w:val="0"/>
                <w:color w:val="000000"/>
                <w:kern w:val="0"/>
                <w:sz w:val="18"/>
                <w:szCs w:val="18"/>
                <w:u w:val="none"/>
                <w:lang w:val="en-US" w:eastAsia="zh-CN" w:bidi="ar"/>
              </w:rPr>
              <w:t>年度资金总额：</w:t>
            </w:r>
          </w:p>
        </w:tc>
        <w:tc>
          <w:tcPr>
            <w:tcW w:w="15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1092.61</w:t>
            </w:r>
          </w:p>
        </w:tc>
        <w:tc>
          <w:tcPr>
            <w:tcW w:w="14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2336.62</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2336.62</w:t>
            </w:r>
          </w:p>
        </w:tc>
        <w:tc>
          <w:tcPr>
            <w:tcW w:w="503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10</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100.00%</w:t>
            </w:r>
          </w:p>
        </w:tc>
        <w:tc>
          <w:tcPr>
            <w:tcW w:w="7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354" w:type="dxa"/>
          <w:trHeight w:val="600" w:hRule="atLeast"/>
        </w:trPr>
        <w:tc>
          <w:tcPr>
            <w:tcW w:w="11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8"/>
                <w:szCs w:val="18"/>
                <w:u w:val="none"/>
              </w:rPr>
            </w:pPr>
          </w:p>
        </w:tc>
        <w:tc>
          <w:tcPr>
            <w:tcW w:w="543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b/>
                <w:bCs/>
                <w:i w:val="0"/>
                <w:iCs w:val="0"/>
                <w:color w:val="000000"/>
                <w:sz w:val="18"/>
                <w:szCs w:val="18"/>
                <w:u w:val="none"/>
              </w:rPr>
            </w:pPr>
            <w:r>
              <w:rPr>
                <w:rFonts w:hint="eastAsia" w:ascii="微软雅黑" w:hAnsi="微软雅黑" w:eastAsia="微软雅黑" w:cs="微软雅黑"/>
                <w:b/>
                <w:bCs/>
                <w:i w:val="0"/>
                <w:iCs w:val="0"/>
                <w:color w:val="000000"/>
                <w:kern w:val="0"/>
                <w:sz w:val="18"/>
                <w:szCs w:val="18"/>
                <w:u w:val="none"/>
                <w:lang w:val="en-US" w:eastAsia="zh-CN" w:bidi="ar"/>
              </w:rPr>
              <w:t>按收入性质分：</w:t>
            </w:r>
          </w:p>
        </w:tc>
        <w:tc>
          <w:tcPr>
            <w:tcW w:w="6928"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按支出性质分：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354" w:type="dxa"/>
          <w:trHeight w:val="878" w:hRule="atLeast"/>
        </w:trPr>
        <w:tc>
          <w:tcPr>
            <w:tcW w:w="11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8"/>
                <w:szCs w:val="18"/>
                <w:u w:val="none"/>
              </w:rPr>
            </w:pPr>
          </w:p>
        </w:tc>
        <w:tc>
          <w:tcPr>
            <w:tcW w:w="14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18"/>
                <w:szCs w:val="18"/>
                <w:u w:val="none"/>
              </w:rPr>
            </w:pPr>
            <w:r>
              <w:rPr>
                <w:rFonts w:hint="eastAsia" w:ascii="微软雅黑" w:hAnsi="微软雅黑" w:eastAsia="微软雅黑" w:cs="微软雅黑"/>
                <w:b/>
                <w:bCs/>
                <w:i w:val="0"/>
                <w:iCs w:val="0"/>
                <w:color w:val="000000"/>
                <w:kern w:val="0"/>
                <w:sz w:val="18"/>
                <w:szCs w:val="18"/>
                <w:u w:val="none"/>
                <w:lang w:val="en-US" w:eastAsia="zh-CN" w:bidi="ar"/>
              </w:rPr>
              <w:t>一般公共预算：</w:t>
            </w:r>
          </w:p>
        </w:tc>
        <w:tc>
          <w:tcPr>
            <w:tcW w:w="394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2336.62</w:t>
            </w:r>
          </w:p>
        </w:tc>
        <w:tc>
          <w:tcPr>
            <w:tcW w:w="5032"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微软雅黑" w:hAnsi="微软雅黑" w:eastAsia="微软雅黑" w:cs="微软雅黑"/>
                <w:b/>
                <w:bCs/>
                <w:i w:val="0"/>
                <w:iCs w:val="0"/>
                <w:color w:val="000000"/>
                <w:sz w:val="18"/>
                <w:szCs w:val="18"/>
                <w:u w:val="none"/>
                <w:lang w:val="en-US"/>
              </w:rPr>
            </w:pPr>
            <w:r>
              <w:rPr>
                <w:rFonts w:hint="eastAsia" w:ascii="微软雅黑" w:hAnsi="微软雅黑" w:eastAsia="微软雅黑" w:cs="微软雅黑"/>
                <w:b/>
                <w:bCs/>
                <w:i w:val="0"/>
                <w:iCs w:val="0"/>
                <w:color w:val="000000"/>
                <w:kern w:val="0"/>
                <w:sz w:val="18"/>
                <w:szCs w:val="18"/>
                <w:u w:val="none"/>
                <w:lang w:val="en-US" w:eastAsia="zh-CN" w:bidi="ar"/>
              </w:rPr>
              <w:t>其中:基本支出;1575.62</w:t>
            </w:r>
          </w:p>
        </w:tc>
        <w:tc>
          <w:tcPr>
            <w:tcW w:w="1896"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1575.62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354" w:type="dxa"/>
          <w:trHeight w:val="600" w:hRule="atLeast"/>
        </w:trPr>
        <w:tc>
          <w:tcPr>
            <w:tcW w:w="11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8"/>
                <w:szCs w:val="18"/>
                <w:u w:val="none"/>
              </w:rPr>
            </w:pPr>
          </w:p>
        </w:tc>
        <w:tc>
          <w:tcPr>
            <w:tcW w:w="14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18"/>
                <w:szCs w:val="18"/>
                <w:u w:val="none"/>
              </w:rPr>
            </w:pPr>
            <w:r>
              <w:rPr>
                <w:rFonts w:hint="eastAsia" w:ascii="微软雅黑" w:hAnsi="微软雅黑" w:eastAsia="微软雅黑" w:cs="微软雅黑"/>
                <w:b/>
                <w:bCs/>
                <w:i w:val="0"/>
                <w:iCs w:val="0"/>
                <w:color w:val="000000"/>
                <w:kern w:val="0"/>
                <w:sz w:val="18"/>
                <w:szCs w:val="18"/>
                <w:u w:val="none"/>
                <w:lang w:val="en-US" w:eastAsia="zh-CN" w:bidi="ar"/>
              </w:rPr>
              <w:t>政府性基金拨款：</w:t>
            </w:r>
          </w:p>
        </w:tc>
        <w:tc>
          <w:tcPr>
            <w:tcW w:w="394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0.00</w:t>
            </w:r>
          </w:p>
        </w:tc>
        <w:tc>
          <w:tcPr>
            <w:tcW w:w="5032"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b/>
                <w:bCs/>
                <w:i w:val="0"/>
                <w:iCs w:val="0"/>
                <w:color w:val="000000"/>
                <w:sz w:val="18"/>
                <w:szCs w:val="18"/>
                <w:u w:val="none"/>
              </w:rPr>
            </w:pPr>
          </w:p>
        </w:tc>
        <w:tc>
          <w:tcPr>
            <w:tcW w:w="189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354" w:type="dxa"/>
          <w:trHeight w:val="600" w:hRule="atLeast"/>
        </w:trPr>
        <w:tc>
          <w:tcPr>
            <w:tcW w:w="11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8"/>
                <w:szCs w:val="18"/>
                <w:u w:val="none"/>
              </w:rPr>
            </w:pPr>
          </w:p>
        </w:tc>
        <w:tc>
          <w:tcPr>
            <w:tcW w:w="14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18"/>
                <w:szCs w:val="18"/>
                <w:u w:val="none"/>
              </w:rPr>
            </w:pPr>
            <w:r>
              <w:rPr>
                <w:rFonts w:hint="eastAsia" w:ascii="微软雅黑" w:hAnsi="微软雅黑" w:eastAsia="微软雅黑" w:cs="微软雅黑"/>
                <w:b/>
                <w:bCs/>
                <w:i w:val="0"/>
                <w:iCs w:val="0"/>
                <w:color w:val="000000"/>
                <w:kern w:val="0"/>
                <w:sz w:val="18"/>
                <w:szCs w:val="18"/>
                <w:u w:val="none"/>
                <w:lang w:val="en-US" w:eastAsia="zh-CN" w:bidi="ar"/>
              </w:rPr>
              <w:t>纳入专户管理的非税收入拨款：</w:t>
            </w:r>
          </w:p>
        </w:tc>
        <w:tc>
          <w:tcPr>
            <w:tcW w:w="394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0.0</w:t>
            </w:r>
          </w:p>
        </w:tc>
        <w:tc>
          <w:tcPr>
            <w:tcW w:w="5032"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微软雅黑" w:hAnsi="微软雅黑" w:eastAsia="微软雅黑" w:cs="微软雅黑"/>
                <w:b/>
                <w:bCs/>
                <w:i w:val="0"/>
                <w:iCs w:val="0"/>
                <w:color w:val="000000"/>
                <w:sz w:val="18"/>
                <w:szCs w:val="18"/>
                <w:u w:val="none"/>
                <w:lang w:val="en-US"/>
              </w:rPr>
            </w:pPr>
            <w:r>
              <w:rPr>
                <w:rFonts w:hint="eastAsia" w:ascii="微软雅黑" w:hAnsi="微软雅黑" w:eastAsia="微软雅黑" w:cs="微软雅黑"/>
                <w:b/>
                <w:bCs/>
                <w:i w:val="0"/>
                <w:iCs w:val="0"/>
                <w:color w:val="000000"/>
                <w:kern w:val="0"/>
                <w:sz w:val="18"/>
                <w:szCs w:val="18"/>
                <w:u w:val="none"/>
                <w:lang w:val="en-US" w:eastAsia="zh-CN" w:bidi="ar"/>
              </w:rPr>
              <w:t>项目支出：661.00</w:t>
            </w:r>
          </w:p>
        </w:tc>
        <w:tc>
          <w:tcPr>
            <w:tcW w:w="1896"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661.00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354" w:type="dxa"/>
          <w:trHeight w:val="600" w:hRule="atLeast"/>
        </w:trPr>
        <w:tc>
          <w:tcPr>
            <w:tcW w:w="11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8"/>
                <w:szCs w:val="18"/>
                <w:u w:val="none"/>
              </w:rPr>
            </w:pPr>
          </w:p>
        </w:tc>
        <w:tc>
          <w:tcPr>
            <w:tcW w:w="14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18"/>
                <w:szCs w:val="18"/>
                <w:u w:val="none"/>
              </w:rPr>
            </w:pPr>
            <w:r>
              <w:rPr>
                <w:rFonts w:hint="eastAsia" w:ascii="微软雅黑" w:hAnsi="微软雅黑" w:eastAsia="微软雅黑" w:cs="微软雅黑"/>
                <w:b/>
                <w:bCs/>
                <w:i w:val="0"/>
                <w:iCs w:val="0"/>
                <w:color w:val="000000"/>
                <w:kern w:val="0"/>
                <w:sz w:val="18"/>
                <w:szCs w:val="18"/>
                <w:u w:val="none"/>
                <w:lang w:val="en-US" w:eastAsia="zh-CN" w:bidi="ar"/>
              </w:rPr>
              <w:t>其他资金</w:t>
            </w:r>
          </w:p>
        </w:tc>
        <w:tc>
          <w:tcPr>
            <w:tcW w:w="394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0.0</w:t>
            </w:r>
          </w:p>
        </w:tc>
        <w:tc>
          <w:tcPr>
            <w:tcW w:w="5032"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b/>
                <w:bCs/>
                <w:i w:val="0"/>
                <w:iCs w:val="0"/>
                <w:color w:val="000000"/>
                <w:sz w:val="18"/>
                <w:szCs w:val="18"/>
                <w:u w:val="none"/>
              </w:rPr>
            </w:pPr>
          </w:p>
        </w:tc>
        <w:tc>
          <w:tcPr>
            <w:tcW w:w="189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354" w:type="dxa"/>
          <w:trHeight w:val="600" w:hRule="atLeast"/>
        </w:trPr>
        <w:tc>
          <w:tcPr>
            <w:tcW w:w="11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18"/>
                <w:szCs w:val="18"/>
                <w:u w:val="none"/>
              </w:rPr>
            </w:pPr>
            <w:r>
              <w:rPr>
                <w:rFonts w:hint="eastAsia" w:ascii="微软雅黑" w:hAnsi="微软雅黑" w:eastAsia="微软雅黑" w:cs="微软雅黑"/>
                <w:b/>
                <w:bCs/>
                <w:i w:val="0"/>
                <w:iCs w:val="0"/>
                <w:color w:val="000000"/>
                <w:kern w:val="0"/>
                <w:sz w:val="18"/>
                <w:szCs w:val="18"/>
                <w:u w:val="none"/>
                <w:lang w:val="en-US" w:eastAsia="zh-CN" w:bidi="ar"/>
              </w:rPr>
              <w:t>年度总体目标</w:t>
            </w:r>
          </w:p>
        </w:tc>
        <w:tc>
          <w:tcPr>
            <w:tcW w:w="543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18"/>
                <w:szCs w:val="18"/>
                <w:u w:val="none"/>
              </w:rPr>
            </w:pPr>
            <w:r>
              <w:rPr>
                <w:rFonts w:hint="eastAsia" w:ascii="微软雅黑" w:hAnsi="微软雅黑" w:eastAsia="微软雅黑" w:cs="微软雅黑"/>
                <w:b/>
                <w:bCs/>
                <w:i w:val="0"/>
                <w:iCs w:val="0"/>
                <w:color w:val="000000"/>
                <w:kern w:val="0"/>
                <w:sz w:val="18"/>
                <w:szCs w:val="18"/>
                <w:u w:val="none"/>
                <w:lang w:val="en-US" w:eastAsia="zh-CN" w:bidi="ar"/>
              </w:rPr>
              <w:t>预期目标</w:t>
            </w:r>
          </w:p>
        </w:tc>
        <w:tc>
          <w:tcPr>
            <w:tcW w:w="6928"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微软雅黑" w:hAnsi="微软雅黑" w:eastAsia="微软雅黑" w:cs="微软雅黑"/>
                <w:b/>
                <w:bCs/>
                <w:i w:val="0"/>
                <w:iCs w:val="0"/>
                <w:color w:val="000000"/>
                <w:sz w:val="18"/>
                <w:szCs w:val="18"/>
                <w:u w:val="none"/>
              </w:rPr>
            </w:pPr>
            <w:r>
              <w:rPr>
                <w:rFonts w:hint="eastAsia" w:ascii="微软雅黑" w:hAnsi="微软雅黑" w:eastAsia="微软雅黑" w:cs="微软雅黑"/>
                <w:b/>
                <w:bCs/>
                <w:i w:val="0"/>
                <w:iCs w:val="0"/>
                <w:color w:val="000000"/>
                <w:kern w:val="0"/>
                <w:sz w:val="18"/>
                <w:szCs w:val="18"/>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354" w:type="dxa"/>
          <w:trHeight w:val="600" w:hRule="atLeast"/>
        </w:trPr>
        <w:tc>
          <w:tcPr>
            <w:tcW w:w="11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b/>
                <w:bCs/>
                <w:i w:val="0"/>
                <w:iCs w:val="0"/>
                <w:color w:val="000000"/>
                <w:sz w:val="18"/>
                <w:szCs w:val="18"/>
                <w:u w:val="none"/>
              </w:rPr>
            </w:pPr>
          </w:p>
        </w:tc>
        <w:tc>
          <w:tcPr>
            <w:tcW w:w="543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按照国家政策法规规定和本单位实际情况，建立健全财务基础管理制度和约束机制，依法有效地使用财政资金，提高财政资金使用效率。</w:t>
            </w:r>
          </w:p>
        </w:tc>
        <w:tc>
          <w:tcPr>
            <w:tcW w:w="6928"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全面完成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1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18"/>
                <w:szCs w:val="18"/>
                <w:u w:val="none"/>
              </w:rPr>
            </w:pPr>
            <w:r>
              <w:rPr>
                <w:rFonts w:hint="eastAsia" w:ascii="微软雅黑" w:hAnsi="微软雅黑" w:eastAsia="微软雅黑" w:cs="微软雅黑"/>
                <w:b/>
                <w:bCs/>
                <w:i w:val="0"/>
                <w:iCs w:val="0"/>
                <w:color w:val="000000"/>
                <w:kern w:val="0"/>
                <w:sz w:val="18"/>
                <w:szCs w:val="18"/>
                <w:u w:val="none"/>
                <w:lang w:val="en-US" w:eastAsia="zh-CN" w:bidi="ar"/>
              </w:rPr>
              <w:t>绩效指标</w:t>
            </w:r>
          </w:p>
        </w:tc>
        <w:tc>
          <w:tcPr>
            <w:tcW w:w="1350" w:type="dxa"/>
            <w:vMerge w:val="restart"/>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18"/>
                <w:szCs w:val="18"/>
                <w:u w:val="none"/>
              </w:rPr>
            </w:pPr>
            <w:r>
              <w:rPr>
                <w:rFonts w:hint="eastAsia" w:ascii="微软雅黑" w:hAnsi="微软雅黑" w:eastAsia="微软雅黑" w:cs="微软雅黑"/>
                <w:b/>
                <w:bCs/>
                <w:i w:val="0"/>
                <w:iCs w:val="0"/>
                <w:color w:val="000000"/>
                <w:kern w:val="0"/>
                <w:sz w:val="18"/>
                <w:szCs w:val="18"/>
                <w:u w:val="none"/>
                <w:lang w:val="en-US" w:eastAsia="zh-CN" w:bidi="ar"/>
              </w:rPr>
              <w:t>一级指标</w:t>
            </w:r>
          </w:p>
        </w:tc>
        <w:tc>
          <w:tcPr>
            <w:tcW w:w="945" w:type="dxa"/>
            <w:gridSpan w:val="2"/>
            <w:vMerge w:val="restart"/>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18"/>
                <w:szCs w:val="18"/>
                <w:u w:val="none"/>
              </w:rPr>
            </w:pPr>
            <w:r>
              <w:rPr>
                <w:rFonts w:hint="eastAsia" w:ascii="微软雅黑" w:hAnsi="微软雅黑" w:eastAsia="微软雅黑" w:cs="微软雅黑"/>
                <w:b/>
                <w:bCs/>
                <w:i w:val="0"/>
                <w:iCs w:val="0"/>
                <w:color w:val="000000"/>
                <w:kern w:val="0"/>
                <w:sz w:val="18"/>
                <w:szCs w:val="18"/>
                <w:u w:val="none"/>
                <w:lang w:val="en-US" w:eastAsia="zh-CN" w:bidi="ar"/>
              </w:rPr>
              <w:t>二级指标</w:t>
            </w:r>
          </w:p>
        </w:tc>
        <w:tc>
          <w:tcPr>
            <w:tcW w:w="115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18"/>
                <w:szCs w:val="18"/>
                <w:u w:val="none"/>
              </w:rPr>
            </w:pPr>
            <w:r>
              <w:rPr>
                <w:rFonts w:hint="eastAsia" w:ascii="微软雅黑" w:hAnsi="微软雅黑" w:eastAsia="微软雅黑" w:cs="微软雅黑"/>
                <w:b/>
                <w:bCs/>
                <w:i w:val="0"/>
                <w:iCs w:val="0"/>
                <w:color w:val="000000"/>
                <w:kern w:val="0"/>
                <w:sz w:val="18"/>
                <w:szCs w:val="18"/>
                <w:u w:val="none"/>
                <w:lang w:val="en-US" w:eastAsia="zh-CN" w:bidi="ar"/>
              </w:rPr>
              <w:t>三级指标</w:t>
            </w:r>
          </w:p>
        </w:tc>
        <w:tc>
          <w:tcPr>
            <w:tcW w:w="198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18"/>
                <w:szCs w:val="18"/>
                <w:u w:val="none"/>
              </w:rPr>
            </w:pPr>
            <w:r>
              <w:rPr>
                <w:rFonts w:hint="eastAsia" w:ascii="微软雅黑" w:hAnsi="微软雅黑" w:eastAsia="微软雅黑" w:cs="微软雅黑"/>
                <w:b/>
                <w:bCs/>
                <w:i w:val="0"/>
                <w:iCs w:val="0"/>
                <w:color w:val="000000"/>
                <w:kern w:val="0"/>
                <w:sz w:val="18"/>
                <w:szCs w:val="18"/>
                <w:u w:val="none"/>
                <w:lang w:val="en-US" w:eastAsia="zh-CN" w:bidi="ar"/>
              </w:rPr>
              <w:t>年度指标值</w:t>
            </w:r>
          </w:p>
        </w:tc>
        <w:tc>
          <w:tcPr>
            <w:tcW w:w="15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18"/>
                <w:szCs w:val="18"/>
                <w:u w:val="none"/>
              </w:rPr>
            </w:pPr>
            <w:r>
              <w:rPr>
                <w:rFonts w:hint="eastAsia" w:ascii="微软雅黑" w:hAnsi="微软雅黑" w:eastAsia="微软雅黑" w:cs="微软雅黑"/>
                <w:b/>
                <w:bCs/>
                <w:i w:val="0"/>
                <w:iCs w:val="0"/>
                <w:color w:val="000000"/>
                <w:kern w:val="0"/>
                <w:sz w:val="18"/>
                <w:szCs w:val="18"/>
                <w:u w:val="none"/>
                <w:lang w:val="en-US" w:eastAsia="zh-CN" w:bidi="ar"/>
              </w:rPr>
              <w:t>实际完成值</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18"/>
                <w:szCs w:val="18"/>
                <w:u w:val="none"/>
              </w:rPr>
            </w:pPr>
            <w:r>
              <w:rPr>
                <w:rFonts w:hint="eastAsia" w:ascii="微软雅黑" w:hAnsi="微软雅黑" w:eastAsia="微软雅黑" w:cs="微软雅黑"/>
                <w:b/>
                <w:bCs/>
                <w:i w:val="0"/>
                <w:iCs w:val="0"/>
                <w:color w:val="000000"/>
                <w:kern w:val="0"/>
                <w:sz w:val="18"/>
                <w:szCs w:val="18"/>
                <w:u w:val="none"/>
                <w:lang w:val="en-US" w:eastAsia="zh-CN" w:bidi="ar"/>
              </w:rPr>
              <w:t>分值</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18"/>
                <w:szCs w:val="18"/>
                <w:u w:val="none"/>
              </w:rPr>
            </w:pPr>
            <w:r>
              <w:rPr>
                <w:rFonts w:hint="eastAsia" w:ascii="微软雅黑" w:hAnsi="微软雅黑" w:eastAsia="微软雅黑" w:cs="微软雅黑"/>
                <w:b/>
                <w:bCs/>
                <w:i w:val="0"/>
                <w:iCs w:val="0"/>
                <w:color w:val="000000"/>
                <w:kern w:val="0"/>
                <w:sz w:val="18"/>
                <w:szCs w:val="18"/>
                <w:u w:val="none"/>
                <w:lang w:val="en-US" w:eastAsia="zh-CN" w:bidi="ar"/>
              </w:rPr>
              <w:t>得分</w:t>
            </w:r>
          </w:p>
        </w:tc>
        <w:tc>
          <w:tcPr>
            <w:tcW w:w="3742" w:type="dxa"/>
            <w:gridSpan w:val="5"/>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微软雅黑" w:hAnsi="微软雅黑" w:eastAsia="微软雅黑" w:cs="微软雅黑"/>
                <w:b/>
                <w:bCs/>
                <w:i w:val="0"/>
                <w:iCs w:val="0"/>
                <w:color w:val="000000"/>
                <w:sz w:val="18"/>
                <w:szCs w:val="18"/>
                <w:u w:val="none"/>
              </w:rPr>
            </w:pPr>
            <w:r>
              <w:rPr>
                <w:rFonts w:hint="eastAsia" w:ascii="微软雅黑" w:hAnsi="微软雅黑" w:eastAsia="微软雅黑" w:cs="微软雅黑"/>
                <w:b/>
                <w:bCs/>
                <w:i w:val="0"/>
                <w:iCs w:val="0"/>
                <w:color w:val="000000"/>
                <w:kern w:val="0"/>
                <w:sz w:val="18"/>
                <w:szCs w:val="18"/>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1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b/>
                <w:bCs/>
                <w:i w:val="0"/>
                <w:iCs w:val="0"/>
                <w:color w:val="000000"/>
                <w:sz w:val="18"/>
                <w:szCs w:val="18"/>
                <w:u w:val="none"/>
              </w:rPr>
            </w:pPr>
          </w:p>
        </w:tc>
        <w:tc>
          <w:tcPr>
            <w:tcW w:w="1350" w:type="dxa"/>
            <w:vMerge w:val="continue"/>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微软雅黑" w:hAnsi="微软雅黑" w:eastAsia="微软雅黑" w:cs="微软雅黑"/>
                <w:b/>
                <w:bCs/>
                <w:i w:val="0"/>
                <w:iCs w:val="0"/>
                <w:color w:val="000000"/>
                <w:sz w:val="18"/>
                <w:szCs w:val="18"/>
                <w:u w:val="none"/>
              </w:rPr>
            </w:pPr>
          </w:p>
        </w:tc>
        <w:tc>
          <w:tcPr>
            <w:tcW w:w="945" w:type="dxa"/>
            <w:gridSpan w:val="2"/>
            <w:vMerge w:val="continue"/>
            <w:tcBorders>
              <w:top w:val="single" w:color="000000" w:sz="4" w:space="0"/>
              <w:left w:val="single" w:color="000000" w:sz="4" w:space="0"/>
              <w:bottom w:val="single" w:color="000000" w:sz="4" w:space="0"/>
              <w:right w:val="nil"/>
            </w:tcBorders>
            <w:shd w:val="clear" w:color="auto" w:fill="auto"/>
            <w:noWrap/>
            <w:vAlign w:val="center"/>
          </w:tcPr>
          <w:p>
            <w:pPr>
              <w:jc w:val="center"/>
              <w:rPr>
                <w:rFonts w:hint="eastAsia" w:ascii="微软雅黑" w:hAnsi="微软雅黑" w:eastAsia="微软雅黑" w:cs="微软雅黑"/>
                <w:b/>
                <w:bCs/>
                <w:i w:val="0"/>
                <w:iCs w:val="0"/>
                <w:color w:val="000000"/>
                <w:sz w:val="18"/>
                <w:szCs w:val="18"/>
                <w:u w:val="none"/>
              </w:rPr>
            </w:pPr>
          </w:p>
        </w:tc>
        <w:tc>
          <w:tcPr>
            <w:tcW w:w="115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b/>
                <w:bCs/>
                <w:i w:val="0"/>
                <w:iCs w:val="0"/>
                <w:color w:val="000000"/>
                <w:sz w:val="18"/>
                <w:szCs w:val="18"/>
                <w:u w:val="none"/>
              </w:rPr>
            </w:pPr>
          </w:p>
        </w:tc>
        <w:tc>
          <w:tcPr>
            <w:tcW w:w="198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b/>
                <w:bCs/>
                <w:i w:val="0"/>
                <w:iCs w:val="0"/>
                <w:color w:val="000000"/>
                <w:sz w:val="18"/>
                <w:szCs w:val="18"/>
                <w:u w:val="none"/>
              </w:rPr>
            </w:pPr>
          </w:p>
        </w:tc>
        <w:tc>
          <w:tcPr>
            <w:tcW w:w="15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b/>
                <w:bCs/>
                <w:i w:val="0"/>
                <w:iCs w:val="0"/>
                <w:color w:val="000000"/>
                <w:sz w:val="18"/>
                <w:szCs w:val="18"/>
                <w:u w:val="none"/>
              </w:rPr>
            </w:pP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b/>
                <w:bCs/>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b/>
                <w:bCs/>
                <w:i w:val="0"/>
                <w:iCs w:val="0"/>
                <w:color w:val="000000"/>
                <w:sz w:val="18"/>
                <w:szCs w:val="18"/>
                <w:u w:val="none"/>
              </w:rPr>
            </w:pPr>
          </w:p>
        </w:tc>
        <w:tc>
          <w:tcPr>
            <w:tcW w:w="3742"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微软雅黑" w:hAnsi="微软雅黑" w:eastAsia="微软雅黑" w:cs="微软雅黑"/>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1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绩效指标</w:t>
            </w:r>
          </w:p>
        </w:tc>
        <w:tc>
          <w:tcPr>
            <w:tcW w:w="1350" w:type="dxa"/>
            <w:vMerge w:val="restart"/>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产出指标</w:t>
            </w:r>
          </w:p>
        </w:tc>
        <w:tc>
          <w:tcPr>
            <w:tcW w:w="945" w:type="dxa"/>
            <w:gridSpan w:val="2"/>
            <w:vMerge w:val="restart"/>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数量指标</w:t>
            </w:r>
          </w:p>
        </w:tc>
        <w:tc>
          <w:tcPr>
            <w:tcW w:w="11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教师培训次数</w:t>
            </w:r>
          </w:p>
        </w:tc>
        <w:tc>
          <w:tcPr>
            <w:tcW w:w="19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10次</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10次</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8</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8</w:t>
            </w:r>
          </w:p>
        </w:tc>
        <w:tc>
          <w:tcPr>
            <w:tcW w:w="3742"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微软雅黑" w:hAnsi="微软雅黑" w:eastAsia="微软雅黑" w:cs="微软雅黑"/>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1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微软雅黑" w:hAnsi="微软雅黑" w:eastAsia="微软雅黑" w:cs="微软雅黑"/>
                <w:i w:val="0"/>
                <w:iCs w:val="0"/>
                <w:color w:val="000000"/>
                <w:sz w:val="18"/>
                <w:szCs w:val="18"/>
                <w:u w:val="none"/>
              </w:rPr>
            </w:pPr>
          </w:p>
        </w:tc>
        <w:tc>
          <w:tcPr>
            <w:tcW w:w="1350" w:type="dxa"/>
            <w:vMerge w:val="continue"/>
            <w:tcBorders>
              <w:top w:val="single" w:color="000000" w:sz="4" w:space="0"/>
              <w:left w:val="single" w:color="000000" w:sz="4" w:space="0"/>
              <w:bottom w:val="single" w:color="000000" w:sz="4" w:space="0"/>
              <w:right w:val="nil"/>
            </w:tcBorders>
            <w:shd w:val="clear" w:color="auto" w:fill="auto"/>
            <w:noWrap/>
            <w:vAlign w:val="center"/>
          </w:tcPr>
          <w:p>
            <w:pPr>
              <w:rPr>
                <w:rFonts w:hint="eastAsia" w:ascii="微软雅黑" w:hAnsi="微软雅黑" w:eastAsia="微软雅黑" w:cs="微软雅黑"/>
                <w:i w:val="0"/>
                <w:iCs w:val="0"/>
                <w:color w:val="000000"/>
                <w:sz w:val="18"/>
                <w:szCs w:val="18"/>
                <w:u w:val="none"/>
              </w:rPr>
            </w:pPr>
          </w:p>
        </w:tc>
        <w:tc>
          <w:tcPr>
            <w:tcW w:w="945" w:type="dxa"/>
            <w:gridSpan w:val="2"/>
            <w:vMerge w:val="continue"/>
            <w:tcBorders>
              <w:top w:val="single" w:color="000000" w:sz="4" w:space="0"/>
              <w:left w:val="single" w:color="000000" w:sz="4" w:space="0"/>
              <w:bottom w:val="single" w:color="000000" w:sz="4" w:space="0"/>
              <w:right w:val="nil"/>
            </w:tcBorders>
            <w:shd w:val="clear" w:color="auto" w:fill="auto"/>
            <w:vAlign w:val="center"/>
          </w:tcPr>
          <w:p>
            <w:pPr>
              <w:rPr>
                <w:rFonts w:hint="eastAsia" w:ascii="微软雅黑" w:hAnsi="微软雅黑" w:eastAsia="微软雅黑" w:cs="微软雅黑"/>
                <w:i w:val="0"/>
                <w:iCs w:val="0"/>
                <w:color w:val="000000"/>
                <w:sz w:val="18"/>
                <w:szCs w:val="18"/>
                <w:u w:val="none"/>
              </w:rPr>
            </w:pPr>
          </w:p>
        </w:tc>
        <w:tc>
          <w:tcPr>
            <w:tcW w:w="11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考核人数</w:t>
            </w:r>
          </w:p>
        </w:tc>
        <w:tc>
          <w:tcPr>
            <w:tcW w:w="19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174人</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174人</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7</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7</w:t>
            </w:r>
          </w:p>
        </w:tc>
        <w:tc>
          <w:tcPr>
            <w:tcW w:w="3742"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微软雅黑" w:hAnsi="微软雅黑" w:eastAsia="微软雅黑" w:cs="微软雅黑"/>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1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微软雅黑" w:hAnsi="微软雅黑" w:eastAsia="微软雅黑" w:cs="微软雅黑"/>
                <w:i w:val="0"/>
                <w:iCs w:val="0"/>
                <w:color w:val="000000"/>
                <w:sz w:val="18"/>
                <w:szCs w:val="18"/>
                <w:u w:val="none"/>
              </w:rPr>
            </w:pPr>
          </w:p>
        </w:tc>
        <w:tc>
          <w:tcPr>
            <w:tcW w:w="1350" w:type="dxa"/>
            <w:vMerge w:val="continue"/>
            <w:tcBorders>
              <w:top w:val="single" w:color="000000" w:sz="4" w:space="0"/>
              <w:left w:val="single" w:color="000000" w:sz="4" w:space="0"/>
              <w:bottom w:val="single" w:color="000000" w:sz="4" w:space="0"/>
              <w:right w:val="nil"/>
            </w:tcBorders>
            <w:shd w:val="clear" w:color="auto" w:fill="auto"/>
            <w:noWrap/>
            <w:vAlign w:val="center"/>
          </w:tcPr>
          <w:p>
            <w:pPr>
              <w:rPr>
                <w:rFonts w:hint="eastAsia" w:ascii="微软雅黑" w:hAnsi="微软雅黑" w:eastAsia="微软雅黑" w:cs="微软雅黑"/>
                <w:i w:val="0"/>
                <w:iCs w:val="0"/>
                <w:color w:val="000000"/>
                <w:sz w:val="18"/>
                <w:szCs w:val="18"/>
                <w:u w:val="none"/>
              </w:rPr>
            </w:pPr>
          </w:p>
        </w:tc>
        <w:tc>
          <w:tcPr>
            <w:tcW w:w="945" w:type="dxa"/>
            <w:gridSpan w:val="2"/>
            <w:vMerge w:val="continue"/>
            <w:tcBorders>
              <w:top w:val="single" w:color="000000" w:sz="4" w:space="0"/>
              <w:left w:val="single" w:color="000000" w:sz="4" w:space="0"/>
              <w:bottom w:val="single" w:color="000000" w:sz="4" w:space="0"/>
              <w:right w:val="nil"/>
            </w:tcBorders>
            <w:shd w:val="clear" w:color="auto" w:fill="auto"/>
            <w:vAlign w:val="center"/>
          </w:tcPr>
          <w:p>
            <w:pPr>
              <w:rPr>
                <w:rFonts w:hint="eastAsia" w:ascii="微软雅黑" w:hAnsi="微软雅黑" w:eastAsia="微软雅黑" w:cs="微软雅黑"/>
                <w:i w:val="0"/>
                <w:iCs w:val="0"/>
                <w:color w:val="000000"/>
                <w:sz w:val="18"/>
                <w:szCs w:val="18"/>
                <w:u w:val="none"/>
              </w:rPr>
            </w:pPr>
          </w:p>
        </w:tc>
        <w:tc>
          <w:tcPr>
            <w:tcW w:w="11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宿舍楼建设</w:t>
            </w:r>
          </w:p>
        </w:tc>
        <w:tc>
          <w:tcPr>
            <w:tcW w:w="19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1栋</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1栋</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5</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5</w:t>
            </w:r>
          </w:p>
        </w:tc>
        <w:tc>
          <w:tcPr>
            <w:tcW w:w="3742"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微软雅黑" w:hAnsi="微软雅黑" w:eastAsia="微软雅黑" w:cs="微软雅黑"/>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1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微软雅黑" w:hAnsi="微软雅黑" w:eastAsia="微软雅黑" w:cs="微软雅黑"/>
                <w:i w:val="0"/>
                <w:iCs w:val="0"/>
                <w:color w:val="000000"/>
                <w:sz w:val="18"/>
                <w:szCs w:val="18"/>
                <w:u w:val="none"/>
              </w:rPr>
            </w:pPr>
          </w:p>
        </w:tc>
        <w:tc>
          <w:tcPr>
            <w:tcW w:w="1350" w:type="dxa"/>
            <w:vMerge w:val="continue"/>
            <w:tcBorders>
              <w:top w:val="single" w:color="000000" w:sz="4" w:space="0"/>
              <w:left w:val="single" w:color="000000" w:sz="4" w:space="0"/>
              <w:bottom w:val="single" w:color="000000" w:sz="4" w:space="0"/>
              <w:right w:val="nil"/>
            </w:tcBorders>
            <w:shd w:val="clear" w:color="auto" w:fill="auto"/>
            <w:noWrap/>
            <w:vAlign w:val="center"/>
          </w:tcPr>
          <w:p>
            <w:pPr>
              <w:rPr>
                <w:rFonts w:hint="eastAsia" w:ascii="微软雅黑" w:hAnsi="微软雅黑" w:eastAsia="微软雅黑" w:cs="微软雅黑"/>
                <w:i w:val="0"/>
                <w:iCs w:val="0"/>
                <w:color w:val="000000"/>
                <w:sz w:val="18"/>
                <w:szCs w:val="18"/>
                <w:u w:val="none"/>
              </w:rPr>
            </w:pPr>
          </w:p>
        </w:tc>
        <w:tc>
          <w:tcPr>
            <w:tcW w:w="945" w:type="dxa"/>
            <w:gridSpan w:val="2"/>
            <w:vMerge w:val="continue"/>
            <w:tcBorders>
              <w:top w:val="single" w:color="000000" w:sz="4" w:space="0"/>
              <w:left w:val="single" w:color="000000" w:sz="4" w:space="0"/>
              <w:bottom w:val="single" w:color="000000" w:sz="4" w:space="0"/>
              <w:right w:val="nil"/>
            </w:tcBorders>
            <w:shd w:val="clear" w:color="auto" w:fill="auto"/>
            <w:vAlign w:val="center"/>
          </w:tcPr>
          <w:p>
            <w:pPr>
              <w:rPr>
                <w:rFonts w:hint="eastAsia" w:ascii="微软雅黑" w:hAnsi="微软雅黑" w:eastAsia="微软雅黑" w:cs="微软雅黑"/>
                <w:i w:val="0"/>
                <w:iCs w:val="0"/>
                <w:color w:val="000000"/>
                <w:sz w:val="18"/>
                <w:szCs w:val="18"/>
                <w:u w:val="none"/>
              </w:rPr>
            </w:pPr>
          </w:p>
        </w:tc>
        <w:tc>
          <w:tcPr>
            <w:tcW w:w="11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科技楼建设</w:t>
            </w:r>
          </w:p>
        </w:tc>
        <w:tc>
          <w:tcPr>
            <w:tcW w:w="19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1栋</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1栋</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5</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5</w:t>
            </w:r>
          </w:p>
        </w:tc>
        <w:tc>
          <w:tcPr>
            <w:tcW w:w="3742"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微软雅黑" w:hAnsi="微软雅黑" w:eastAsia="微软雅黑" w:cs="微软雅黑"/>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1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微软雅黑" w:hAnsi="微软雅黑" w:eastAsia="微软雅黑" w:cs="微软雅黑"/>
                <w:i w:val="0"/>
                <w:iCs w:val="0"/>
                <w:color w:val="000000"/>
                <w:sz w:val="18"/>
                <w:szCs w:val="18"/>
                <w:u w:val="none"/>
              </w:rPr>
            </w:pPr>
          </w:p>
        </w:tc>
        <w:tc>
          <w:tcPr>
            <w:tcW w:w="1350" w:type="dxa"/>
            <w:vMerge w:val="continue"/>
            <w:tcBorders>
              <w:top w:val="single" w:color="000000" w:sz="4" w:space="0"/>
              <w:left w:val="single" w:color="000000" w:sz="4" w:space="0"/>
              <w:bottom w:val="single" w:color="000000" w:sz="4" w:space="0"/>
              <w:right w:val="nil"/>
            </w:tcBorders>
            <w:shd w:val="clear" w:color="auto" w:fill="auto"/>
            <w:noWrap/>
            <w:vAlign w:val="center"/>
          </w:tcPr>
          <w:p>
            <w:pPr>
              <w:rPr>
                <w:rFonts w:hint="eastAsia" w:ascii="微软雅黑" w:hAnsi="微软雅黑" w:eastAsia="微软雅黑" w:cs="微软雅黑"/>
                <w:i w:val="0"/>
                <w:iCs w:val="0"/>
                <w:color w:val="000000"/>
                <w:sz w:val="18"/>
                <w:szCs w:val="18"/>
                <w:u w:val="none"/>
              </w:rPr>
            </w:pPr>
          </w:p>
        </w:tc>
        <w:tc>
          <w:tcPr>
            <w:tcW w:w="945" w:type="dxa"/>
            <w:gridSpan w:val="2"/>
            <w:vMerge w:val="continue"/>
            <w:tcBorders>
              <w:top w:val="single" w:color="000000" w:sz="4" w:space="0"/>
              <w:left w:val="single" w:color="000000" w:sz="4" w:space="0"/>
              <w:bottom w:val="single" w:color="000000" w:sz="4" w:space="0"/>
              <w:right w:val="nil"/>
            </w:tcBorders>
            <w:shd w:val="clear" w:color="auto" w:fill="auto"/>
            <w:vAlign w:val="center"/>
          </w:tcPr>
          <w:p>
            <w:pPr>
              <w:rPr>
                <w:rFonts w:hint="eastAsia" w:ascii="微软雅黑" w:hAnsi="微软雅黑" w:eastAsia="微软雅黑" w:cs="微软雅黑"/>
                <w:i w:val="0"/>
                <w:iCs w:val="0"/>
                <w:color w:val="000000"/>
                <w:sz w:val="18"/>
                <w:szCs w:val="18"/>
                <w:u w:val="none"/>
              </w:rPr>
            </w:pPr>
          </w:p>
        </w:tc>
        <w:tc>
          <w:tcPr>
            <w:tcW w:w="11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学生人数</w:t>
            </w:r>
          </w:p>
        </w:tc>
        <w:tc>
          <w:tcPr>
            <w:tcW w:w="19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2273</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2273</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5</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5</w:t>
            </w:r>
          </w:p>
        </w:tc>
        <w:tc>
          <w:tcPr>
            <w:tcW w:w="3742"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微软雅黑" w:hAnsi="微软雅黑" w:eastAsia="微软雅黑" w:cs="微软雅黑"/>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1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微软雅黑" w:hAnsi="微软雅黑" w:eastAsia="微软雅黑" w:cs="微软雅黑"/>
                <w:i w:val="0"/>
                <w:iCs w:val="0"/>
                <w:color w:val="000000"/>
                <w:sz w:val="18"/>
                <w:szCs w:val="18"/>
                <w:u w:val="none"/>
              </w:rPr>
            </w:pPr>
          </w:p>
        </w:tc>
        <w:tc>
          <w:tcPr>
            <w:tcW w:w="1350" w:type="dxa"/>
            <w:vMerge w:val="continue"/>
            <w:tcBorders>
              <w:top w:val="single" w:color="000000" w:sz="4" w:space="0"/>
              <w:left w:val="single" w:color="000000" w:sz="4" w:space="0"/>
              <w:bottom w:val="single" w:color="000000" w:sz="4" w:space="0"/>
              <w:right w:val="nil"/>
            </w:tcBorders>
            <w:shd w:val="clear" w:color="auto" w:fill="auto"/>
            <w:noWrap/>
            <w:vAlign w:val="center"/>
          </w:tcPr>
          <w:p>
            <w:pPr>
              <w:rPr>
                <w:rFonts w:hint="eastAsia" w:ascii="微软雅黑" w:hAnsi="微软雅黑" w:eastAsia="微软雅黑" w:cs="微软雅黑"/>
                <w:i w:val="0"/>
                <w:iCs w:val="0"/>
                <w:color w:val="000000"/>
                <w:sz w:val="18"/>
                <w:szCs w:val="18"/>
                <w:u w:val="none"/>
              </w:rPr>
            </w:pPr>
          </w:p>
        </w:tc>
        <w:tc>
          <w:tcPr>
            <w:tcW w:w="945" w:type="dxa"/>
            <w:gridSpan w:val="2"/>
            <w:vMerge w:val="restart"/>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质量指标</w:t>
            </w:r>
          </w:p>
        </w:tc>
        <w:tc>
          <w:tcPr>
            <w:tcW w:w="11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校园系统完成率</w:t>
            </w:r>
          </w:p>
        </w:tc>
        <w:tc>
          <w:tcPr>
            <w:tcW w:w="19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100%</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100%</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5</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5</w:t>
            </w:r>
          </w:p>
        </w:tc>
        <w:tc>
          <w:tcPr>
            <w:tcW w:w="3742"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微软雅黑" w:hAnsi="微软雅黑" w:eastAsia="微软雅黑" w:cs="微软雅黑"/>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1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微软雅黑" w:hAnsi="微软雅黑" w:eastAsia="微软雅黑" w:cs="微软雅黑"/>
                <w:i w:val="0"/>
                <w:iCs w:val="0"/>
                <w:color w:val="000000"/>
                <w:sz w:val="18"/>
                <w:szCs w:val="18"/>
                <w:u w:val="none"/>
              </w:rPr>
            </w:pPr>
          </w:p>
        </w:tc>
        <w:tc>
          <w:tcPr>
            <w:tcW w:w="1350" w:type="dxa"/>
            <w:vMerge w:val="continue"/>
            <w:tcBorders>
              <w:top w:val="single" w:color="000000" w:sz="4" w:space="0"/>
              <w:left w:val="single" w:color="000000" w:sz="4" w:space="0"/>
              <w:bottom w:val="single" w:color="000000" w:sz="4" w:space="0"/>
              <w:right w:val="nil"/>
            </w:tcBorders>
            <w:shd w:val="clear" w:color="auto" w:fill="auto"/>
            <w:noWrap/>
            <w:vAlign w:val="center"/>
          </w:tcPr>
          <w:p>
            <w:pPr>
              <w:rPr>
                <w:rFonts w:hint="eastAsia" w:ascii="微软雅黑" w:hAnsi="微软雅黑" w:eastAsia="微软雅黑" w:cs="微软雅黑"/>
                <w:i w:val="0"/>
                <w:iCs w:val="0"/>
                <w:color w:val="000000"/>
                <w:sz w:val="18"/>
                <w:szCs w:val="18"/>
                <w:u w:val="none"/>
              </w:rPr>
            </w:pPr>
          </w:p>
        </w:tc>
        <w:tc>
          <w:tcPr>
            <w:tcW w:w="945" w:type="dxa"/>
            <w:gridSpan w:val="2"/>
            <w:vMerge w:val="continue"/>
            <w:tcBorders>
              <w:top w:val="single" w:color="000000" w:sz="4" w:space="0"/>
              <w:left w:val="single" w:color="000000" w:sz="4" w:space="0"/>
              <w:bottom w:val="single" w:color="000000" w:sz="4" w:space="0"/>
              <w:right w:val="nil"/>
            </w:tcBorders>
            <w:shd w:val="clear" w:color="auto" w:fill="auto"/>
            <w:vAlign w:val="center"/>
          </w:tcPr>
          <w:p>
            <w:pPr>
              <w:rPr>
                <w:rFonts w:hint="eastAsia" w:ascii="微软雅黑" w:hAnsi="微软雅黑" w:eastAsia="微软雅黑" w:cs="微软雅黑"/>
                <w:i w:val="0"/>
                <w:iCs w:val="0"/>
                <w:color w:val="000000"/>
                <w:sz w:val="18"/>
                <w:szCs w:val="18"/>
                <w:u w:val="none"/>
              </w:rPr>
            </w:pPr>
          </w:p>
        </w:tc>
        <w:tc>
          <w:tcPr>
            <w:tcW w:w="11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教师培训考核完成率</w:t>
            </w:r>
          </w:p>
        </w:tc>
        <w:tc>
          <w:tcPr>
            <w:tcW w:w="19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100%</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100%</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5</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5</w:t>
            </w:r>
          </w:p>
        </w:tc>
        <w:tc>
          <w:tcPr>
            <w:tcW w:w="3742"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微软雅黑" w:hAnsi="微软雅黑" w:eastAsia="微软雅黑" w:cs="微软雅黑"/>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1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微软雅黑" w:hAnsi="微软雅黑" w:eastAsia="微软雅黑" w:cs="微软雅黑"/>
                <w:i w:val="0"/>
                <w:iCs w:val="0"/>
                <w:color w:val="000000"/>
                <w:sz w:val="18"/>
                <w:szCs w:val="18"/>
                <w:u w:val="none"/>
              </w:rPr>
            </w:pPr>
          </w:p>
        </w:tc>
        <w:tc>
          <w:tcPr>
            <w:tcW w:w="1350" w:type="dxa"/>
            <w:vMerge w:val="continue"/>
            <w:tcBorders>
              <w:top w:val="single" w:color="000000" w:sz="4" w:space="0"/>
              <w:left w:val="single" w:color="000000" w:sz="4" w:space="0"/>
              <w:bottom w:val="single" w:color="000000" w:sz="4" w:space="0"/>
              <w:right w:val="nil"/>
            </w:tcBorders>
            <w:shd w:val="clear" w:color="auto" w:fill="auto"/>
            <w:noWrap/>
            <w:vAlign w:val="center"/>
          </w:tcPr>
          <w:p>
            <w:pPr>
              <w:rPr>
                <w:rFonts w:hint="eastAsia" w:ascii="微软雅黑" w:hAnsi="微软雅黑" w:eastAsia="微软雅黑" w:cs="微软雅黑"/>
                <w:i w:val="0"/>
                <w:iCs w:val="0"/>
                <w:color w:val="000000"/>
                <w:sz w:val="18"/>
                <w:szCs w:val="18"/>
                <w:u w:val="none"/>
              </w:rPr>
            </w:pPr>
          </w:p>
        </w:tc>
        <w:tc>
          <w:tcPr>
            <w:tcW w:w="945" w:type="dxa"/>
            <w:gridSpan w:val="2"/>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时效指标</w:t>
            </w:r>
          </w:p>
        </w:tc>
        <w:tc>
          <w:tcPr>
            <w:tcW w:w="11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完成时间</w:t>
            </w:r>
          </w:p>
        </w:tc>
        <w:tc>
          <w:tcPr>
            <w:tcW w:w="19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2023年内</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2023年内</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5</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5</w:t>
            </w:r>
          </w:p>
        </w:tc>
        <w:tc>
          <w:tcPr>
            <w:tcW w:w="3742"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微软雅黑" w:hAnsi="微软雅黑" w:eastAsia="微软雅黑" w:cs="微软雅黑"/>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1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微软雅黑" w:hAnsi="微软雅黑" w:eastAsia="微软雅黑" w:cs="微软雅黑"/>
                <w:i w:val="0"/>
                <w:iCs w:val="0"/>
                <w:color w:val="000000"/>
                <w:sz w:val="18"/>
                <w:szCs w:val="18"/>
                <w:u w:val="none"/>
              </w:rPr>
            </w:pPr>
          </w:p>
        </w:tc>
        <w:tc>
          <w:tcPr>
            <w:tcW w:w="1350" w:type="dxa"/>
            <w:vMerge w:val="restart"/>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效益指标</w:t>
            </w:r>
          </w:p>
        </w:tc>
        <w:tc>
          <w:tcPr>
            <w:tcW w:w="945" w:type="dxa"/>
            <w:gridSpan w:val="2"/>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经济效益指标</w:t>
            </w:r>
          </w:p>
        </w:tc>
        <w:tc>
          <w:tcPr>
            <w:tcW w:w="11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提高教师队伍生活质量</w:t>
            </w:r>
          </w:p>
        </w:tc>
        <w:tc>
          <w:tcPr>
            <w:tcW w:w="19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提高教师队伍生活质量</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提高教师队伍生活质量</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5</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5</w:t>
            </w:r>
          </w:p>
        </w:tc>
        <w:tc>
          <w:tcPr>
            <w:tcW w:w="3742"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微软雅黑" w:hAnsi="微软雅黑" w:eastAsia="微软雅黑" w:cs="微软雅黑"/>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1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微软雅黑" w:hAnsi="微软雅黑" w:eastAsia="微软雅黑" w:cs="微软雅黑"/>
                <w:i w:val="0"/>
                <w:iCs w:val="0"/>
                <w:color w:val="000000"/>
                <w:sz w:val="18"/>
                <w:szCs w:val="18"/>
                <w:u w:val="none"/>
              </w:rPr>
            </w:pPr>
          </w:p>
        </w:tc>
        <w:tc>
          <w:tcPr>
            <w:tcW w:w="1350" w:type="dxa"/>
            <w:vMerge w:val="continue"/>
            <w:tcBorders>
              <w:top w:val="single" w:color="000000" w:sz="4" w:space="0"/>
              <w:left w:val="single" w:color="000000" w:sz="4" w:space="0"/>
              <w:bottom w:val="single" w:color="000000" w:sz="4" w:space="0"/>
              <w:right w:val="nil"/>
            </w:tcBorders>
            <w:shd w:val="clear" w:color="auto" w:fill="auto"/>
            <w:noWrap/>
            <w:vAlign w:val="center"/>
          </w:tcPr>
          <w:p>
            <w:pPr>
              <w:rPr>
                <w:rFonts w:hint="eastAsia" w:ascii="微软雅黑" w:hAnsi="微软雅黑" w:eastAsia="微软雅黑" w:cs="微软雅黑"/>
                <w:i w:val="0"/>
                <w:iCs w:val="0"/>
                <w:color w:val="000000"/>
                <w:sz w:val="18"/>
                <w:szCs w:val="18"/>
                <w:u w:val="none"/>
              </w:rPr>
            </w:pPr>
          </w:p>
        </w:tc>
        <w:tc>
          <w:tcPr>
            <w:tcW w:w="945" w:type="dxa"/>
            <w:gridSpan w:val="2"/>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社会效益指标</w:t>
            </w:r>
          </w:p>
        </w:tc>
        <w:tc>
          <w:tcPr>
            <w:tcW w:w="11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促进全体师生全面发展</w:t>
            </w:r>
          </w:p>
        </w:tc>
        <w:tc>
          <w:tcPr>
            <w:tcW w:w="19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促进全体师生全面发展</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促进全体师生全面发展</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10</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10</w:t>
            </w:r>
          </w:p>
        </w:tc>
        <w:tc>
          <w:tcPr>
            <w:tcW w:w="3742"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微软雅黑" w:hAnsi="微软雅黑" w:eastAsia="微软雅黑" w:cs="微软雅黑"/>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1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微软雅黑" w:hAnsi="微软雅黑" w:eastAsia="微软雅黑" w:cs="微软雅黑"/>
                <w:i w:val="0"/>
                <w:iCs w:val="0"/>
                <w:color w:val="000000"/>
                <w:sz w:val="18"/>
                <w:szCs w:val="18"/>
                <w:u w:val="none"/>
              </w:rPr>
            </w:pPr>
          </w:p>
        </w:tc>
        <w:tc>
          <w:tcPr>
            <w:tcW w:w="1350" w:type="dxa"/>
            <w:vMerge w:val="continue"/>
            <w:tcBorders>
              <w:top w:val="single" w:color="000000" w:sz="4" w:space="0"/>
              <w:left w:val="single" w:color="000000" w:sz="4" w:space="0"/>
              <w:bottom w:val="single" w:color="000000" w:sz="4" w:space="0"/>
              <w:right w:val="nil"/>
            </w:tcBorders>
            <w:shd w:val="clear" w:color="auto" w:fill="auto"/>
            <w:noWrap/>
            <w:vAlign w:val="center"/>
          </w:tcPr>
          <w:p>
            <w:pPr>
              <w:rPr>
                <w:rFonts w:hint="eastAsia" w:ascii="微软雅黑" w:hAnsi="微软雅黑" w:eastAsia="微软雅黑" w:cs="微软雅黑"/>
                <w:i w:val="0"/>
                <w:iCs w:val="0"/>
                <w:color w:val="000000"/>
                <w:sz w:val="18"/>
                <w:szCs w:val="18"/>
                <w:u w:val="none"/>
              </w:rPr>
            </w:pPr>
          </w:p>
        </w:tc>
        <w:tc>
          <w:tcPr>
            <w:tcW w:w="945" w:type="dxa"/>
            <w:gridSpan w:val="2"/>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生态效益指标</w:t>
            </w:r>
          </w:p>
        </w:tc>
        <w:tc>
          <w:tcPr>
            <w:tcW w:w="11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校园环境改善</w:t>
            </w:r>
          </w:p>
        </w:tc>
        <w:tc>
          <w:tcPr>
            <w:tcW w:w="19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改善</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改善</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10</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10</w:t>
            </w:r>
          </w:p>
        </w:tc>
        <w:tc>
          <w:tcPr>
            <w:tcW w:w="3742"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微软雅黑" w:hAnsi="微软雅黑" w:eastAsia="微软雅黑" w:cs="微软雅黑"/>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1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微软雅黑" w:hAnsi="微软雅黑" w:eastAsia="微软雅黑" w:cs="微软雅黑"/>
                <w:i w:val="0"/>
                <w:iCs w:val="0"/>
                <w:color w:val="000000"/>
                <w:sz w:val="18"/>
                <w:szCs w:val="18"/>
                <w:u w:val="none"/>
              </w:rPr>
            </w:pPr>
          </w:p>
        </w:tc>
        <w:tc>
          <w:tcPr>
            <w:tcW w:w="1350" w:type="dxa"/>
            <w:vMerge w:val="continue"/>
            <w:tcBorders>
              <w:top w:val="single" w:color="000000" w:sz="4" w:space="0"/>
              <w:left w:val="single" w:color="000000" w:sz="4" w:space="0"/>
              <w:bottom w:val="single" w:color="000000" w:sz="4" w:space="0"/>
              <w:right w:val="nil"/>
            </w:tcBorders>
            <w:shd w:val="clear" w:color="auto" w:fill="auto"/>
            <w:noWrap/>
            <w:vAlign w:val="center"/>
          </w:tcPr>
          <w:p>
            <w:pPr>
              <w:rPr>
                <w:rFonts w:hint="eastAsia" w:ascii="微软雅黑" w:hAnsi="微软雅黑" w:eastAsia="微软雅黑" w:cs="微软雅黑"/>
                <w:i w:val="0"/>
                <w:iCs w:val="0"/>
                <w:color w:val="000000"/>
                <w:sz w:val="18"/>
                <w:szCs w:val="18"/>
                <w:u w:val="none"/>
              </w:rPr>
            </w:pPr>
          </w:p>
        </w:tc>
        <w:tc>
          <w:tcPr>
            <w:tcW w:w="945" w:type="dxa"/>
            <w:gridSpan w:val="2"/>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可持续影响指标</w:t>
            </w:r>
          </w:p>
        </w:tc>
        <w:tc>
          <w:tcPr>
            <w:tcW w:w="11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8"/>
                <w:szCs w:val="18"/>
                <w:u w:val="none"/>
              </w:rPr>
            </w:pPr>
          </w:p>
        </w:tc>
        <w:tc>
          <w:tcPr>
            <w:tcW w:w="19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8"/>
                <w:szCs w:val="18"/>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8"/>
                <w:szCs w:val="18"/>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8"/>
                <w:szCs w:val="18"/>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8"/>
                <w:szCs w:val="18"/>
                <w:u w:val="none"/>
              </w:rPr>
            </w:pPr>
          </w:p>
        </w:tc>
        <w:tc>
          <w:tcPr>
            <w:tcW w:w="3742"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微软雅黑" w:hAnsi="微软雅黑" w:eastAsia="微软雅黑" w:cs="微软雅黑"/>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1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微软雅黑" w:hAnsi="微软雅黑" w:eastAsia="微软雅黑" w:cs="微软雅黑"/>
                <w:i w:val="0"/>
                <w:iCs w:val="0"/>
                <w:color w:val="000000"/>
                <w:sz w:val="18"/>
                <w:szCs w:val="18"/>
                <w:u w:val="none"/>
              </w:rPr>
            </w:pPr>
          </w:p>
        </w:tc>
        <w:tc>
          <w:tcPr>
            <w:tcW w:w="1350"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满意度指标</w:t>
            </w:r>
          </w:p>
        </w:tc>
        <w:tc>
          <w:tcPr>
            <w:tcW w:w="945" w:type="dxa"/>
            <w:gridSpan w:val="2"/>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服务对象满意度指标</w:t>
            </w:r>
          </w:p>
        </w:tc>
        <w:tc>
          <w:tcPr>
            <w:tcW w:w="11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家长满意度</w:t>
            </w:r>
          </w:p>
        </w:tc>
        <w:tc>
          <w:tcPr>
            <w:tcW w:w="19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&gt;=100%</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95%</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5</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4</w:t>
            </w:r>
          </w:p>
        </w:tc>
        <w:tc>
          <w:tcPr>
            <w:tcW w:w="3742"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微软雅黑" w:hAnsi="微软雅黑" w:eastAsia="微软雅黑" w:cs="微软雅黑"/>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1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微软雅黑" w:hAnsi="微软雅黑" w:eastAsia="微软雅黑" w:cs="微软雅黑"/>
                <w:i w:val="0"/>
                <w:iCs w:val="0"/>
                <w:color w:val="000000"/>
                <w:sz w:val="18"/>
                <w:szCs w:val="18"/>
                <w:u w:val="none"/>
              </w:rPr>
            </w:pPr>
          </w:p>
        </w:tc>
        <w:tc>
          <w:tcPr>
            <w:tcW w:w="1350" w:type="dxa"/>
            <w:vMerge w:val="restart"/>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成本指标</w:t>
            </w:r>
          </w:p>
        </w:tc>
        <w:tc>
          <w:tcPr>
            <w:tcW w:w="945" w:type="dxa"/>
            <w:gridSpan w:val="2"/>
            <w:vMerge w:val="restart"/>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经济成本指标</w:t>
            </w:r>
          </w:p>
        </w:tc>
        <w:tc>
          <w:tcPr>
            <w:tcW w:w="11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基本支出</w:t>
            </w:r>
          </w:p>
        </w:tc>
        <w:tc>
          <w:tcPr>
            <w:tcW w:w="19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1575.62万元</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1575.62万元</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5</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5</w:t>
            </w:r>
          </w:p>
        </w:tc>
        <w:tc>
          <w:tcPr>
            <w:tcW w:w="3742"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微软雅黑" w:hAnsi="微软雅黑" w:eastAsia="微软雅黑" w:cs="微软雅黑"/>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1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微软雅黑" w:hAnsi="微软雅黑" w:eastAsia="微软雅黑" w:cs="微软雅黑"/>
                <w:i w:val="0"/>
                <w:iCs w:val="0"/>
                <w:color w:val="000000"/>
                <w:sz w:val="18"/>
                <w:szCs w:val="18"/>
                <w:u w:val="none"/>
              </w:rPr>
            </w:pPr>
          </w:p>
        </w:tc>
        <w:tc>
          <w:tcPr>
            <w:tcW w:w="1350" w:type="dxa"/>
            <w:vMerge w:val="continue"/>
            <w:tcBorders>
              <w:top w:val="single" w:color="000000" w:sz="4" w:space="0"/>
              <w:left w:val="single" w:color="000000" w:sz="4" w:space="0"/>
              <w:bottom w:val="single" w:color="000000" w:sz="4" w:space="0"/>
              <w:right w:val="nil"/>
            </w:tcBorders>
            <w:shd w:val="clear" w:color="auto" w:fill="auto"/>
            <w:noWrap/>
            <w:vAlign w:val="center"/>
          </w:tcPr>
          <w:p>
            <w:pPr>
              <w:rPr>
                <w:rFonts w:hint="eastAsia" w:ascii="微软雅黑" w:hAnsi="微软雅黑" w:eastAsia="微软雅黑" w:cs="微软雅黑"/>
                <w:i w:val="0"/>
                <w:iCs w:val="0"/>
                <w:color w:val="000000"/>
                <w:sz w:val="18"/>
                <w:szCs w:val="18"/>
                <w:u w:val="none"/>
              </w:rPr>
            </w:pPr>
          </w:p>
        </w:tc>
        <w:tc>
          <w:tcPr>
            <w:tcW w:w="945" w:type="dxa"/>
            <w:gridSpan w:val="2"/>
            <w:vMerge w:val="continue"/>
            <w:tcBorders>
              <w:top w:val="single" w:color="000000" w:sz="4" w:space="0"/>
              <w:left w:val="single" w:color="000000" w:sz="4" w:space="0"/>
              <w:bottom w:val="single" w:color="000000" w:sz="4" w:space="0"/>
              <w:right w:val="nil"/>
            </w:tcBorders>
            <w:shd w:val="clear" w:color="auto" w:fill="auto"/>
            <w:vAlign w:val="center"/>
          </w:tcPr>
          <w:p>
            <w:pPr>
              <w:rPr>
                <w:rFonts w:hint="eastAsia" w:ascii="微软雅黑" w:hAnsi="微软雅黑" w:eastAsia="微软雅黑" w:cs="微软雅黑"/>
                <w:i w:val="0"/>
                <w:iCs w:val="0"/>
                <w:color w:val="000000"/>
                <w:sz w:val="18"/>
                <w:szCs w:val="18"/>
                <w:u w:val="none"/>
              </w:rPr>
            </w:pPr>
          </w:p>
        </w:tc>
        <w:tc>
          <w:tcPr>
            <w:tcW w:w="11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项目支出</w:t>
            </w:r>
          </w:p>
        </w:tc>
        <w:tc>
          <w:tcPr>
            <w:tcW w:w="19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661万元</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661万元</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5</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5</w:t>
            </w:r>
          </w:p>
        </w:tc>
        <w:tc>
          <w:tcPr>
            <w:tcW w:w="3742"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微软雅黑" w:hAnsi="微软雅黑" w:eastAsia="微软雅黑" w:cs="微软雅黑"/>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1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微软雅黑" w:hAnsi="微软雅黑" w:eastAsia="微软雅黑" w:cs="微软雅黑"/>
                <w:i w:val="0"/>
                <w:iCs w:val="0"/>
                <w:color w:val="000000"/>
                <w:sz w:val="18"/>
                <w:szCs w:val="18"/>
                <w:u w:val="none"/>
              </w:rPr>
            </w:pPr>
          </w:p>
        </w:tc>
        <w:tc>
          <w:tcPr>
            <w:tcW w:w="1350" w:type="dxa"/>
            <w:vMerge w:val="continue"/>
            <w:tcBorders>
              <w:top w:val="single" w:color="000000" w:sz="4" w:space="0"/>
              <w:left w:val="single" w:color="000000" w:sz="4" w:space="0"/>
              <w:bottom w:val="single" w:color="000000" w:sz="4" w:space="0"/>
              <w:right w:val="nil"/>
            </w:tcBorders>
            <w:shd w:val="clear" w:color="auto" w:fill="auto"/>
            <w:noWrap/>
            <w:vAlign w:val="center"/>
          </w:tcPr>
          <w:p>
            <w:pPr>
              <w:rPr>
                <w:rFonts w:hint="eastAsia" w:ascii="微软雅黑" w:hAnsi="微软雅黑" w:eastAsia="微软雅黑" w:cs="微软雅黑"/>
                <w:i w:val="0"/>
                <w:iCs w:val="0"/>
                <w:color w:val="000000"/>
                <w:sz w:val="18"/>
                <w:szCs w:val="18"/>
                <w:u w:val="none"/>
              </w:rPr>
            </w:pPr>
          </w:p>
        </w:tc>
        <w:tc>
          <w:tcPr>
            <w:tcW w:w="945" w:type="dxa"/>
            <w:gridSpan w:val="2"/>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社会成本指标</w:t>
            </w:r>
          </w:p>
        </w:tc>
        <w:tc>
          <w:tcPr>
            <w:tcW w:w="11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资金使用合规性</w:t>
            </w:r>
          </w:p>
        </w:tc>
        <w:tc>
          <w:tcPr>
            <w:tcW w:w="19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合规</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合规</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5</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5</w:t>
            </w:r>
          </w:p>
        </w:tc>
        <w:tc>
          <w:tcPr>
            <w:tcW w:w="3742"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微软雅黑" w:hAnsi="微软雅黑" w:eastAsia="微软雅黑" w:cs="微软雅黑"/>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1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微软雅黑" w:hAnsi="微软雅黑" w:eastAsia="微软雅黑" w:cs="微软雅黑"/>
                <w:i w:val="0"/>
                <w:iCs w:val="0"/>
                <w:color w:val="000000"/>
                <w:sz w:val="18"/>
                <w:szCs w:val="18"/>
                <w:u w:val="none"/>
              </w:rPr>
            </w:pPr>
          </w:p>
        </w:tc>
        <w:tc>
          <w:tcPr>
            <w:tcW w:w="1350" w:type="dxa"/>
            <w:vMerge w:val="continue"/>
            <w:tcBorders>
              <w:top w:val="single" w:color="000000" w:sz="4" w:space="0"/>
              <w:left w:val="single" w:color="000000" w:sz="4" w:space="0"/>
              <w:bottom w:val="single" w:color="000000" w:sz="4" w:space="0"/>
              <w:right w:val="nil"/>
            </w:tcBorders>
            <w:shd w:val="clear" w:color="auto" w:fill="auto"/>
            <w:noWrap/>
            <w:vAlign w:val="center"/>
          </w:tcPr>
          <w:p>
            <w:pPr>
              <w:rPr>
                <w:rFonts w:hint="eastAsia" w:ascii="微软雅黑" w:hAnsi="微软雅黑" w:eastAsia="微软雅黑" w:cs="微软雅黑"/>
                <w:i w:val="0"/>
                <w:iCs w:val="0"/>
                <w:color w:val="000000"/>
                <w:sz w:val="18"/>
                <w:szCs w:val="18"/>
                <w:u w:val="none"/>
              </w:rPr>
            </w:pPr>
          </w:p>
        </w:tc>
        <w:tc>
          <w:tcPr>
            <w:tcW w:w="945" w:type="dxa"/>
            <w:gridSpan w:val="2"/>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生态环境成本指标</w:t>
            </w:r>
          </w:p>
        </w:tc>
        <w:tc>
          <w:tcPr>
            <w:tcW w:w="11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8"/>
                <w:szCs w:val="18"/>
                <w:u w:val="none"/>
              </w:rPr>
            </w:pPr>
          </w:p>
        </w:tc>
        <w:tc>
          <w:tcPr>
            <w:tcW w:w="19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8"/>
                <w:szCs w:val="18"/>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8"/>
                <w:szCs w:val="18"/>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8"/>
                <w:szCs w:val="18"/>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微软雅黑" w:hAnsi="微软雅黑" w:eastAsia="微软雅黑" w:cs="微软雅黑"/>
                <w:i w:val="0"/>
                <w:iCs w:val="0"/>
                <w:color w:val="000000"/>
                <w:sz w:val="18"/>
                <w:szCs w:val="18"/>
                <w:u w:val="none"/>
              </w:rPr>
            </w:pPr>
          </w:p>
        </w:tc>
        <w:tc>
          <w:tcPr>
            <w:tcW w:w="3742"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微软雅黑" w:hAnsi="微软雅黑" w:eastAsia="微软雅黑" w:cs="微软雅黑"/>
                <w:i w:val="0"/>
                <w:iCs w:val="0"/>
                <w:color w:val="000000"/>
                <w:sz w:val="18"/>
                <w:szCs w:val="18"/>
                <w:u w:val="none"/>
              </w:rPr>
            </w:pPr>
          </w:p>
        </w:tc>
      </w:tr>
    </w:tbl>
    <w:p>
      <w:pPr>
        <w:spacing w:line="600" w:lineRule="exact"/>
        <w:rPr>
          <w:rFonts w:eastAsia="仿宋_GB2312"/>
          <w:sz w:val="32"/>
          <w:szCs w:val="32"/>
        </w:rPr>
      </w:pPr>
    </w:p>
    <w:p>
      <w:pPr>
        <w:spacing w:line="600" w:lineRule="exact"/>
        <w:rPr>
          <w:rFonts w:eastAsia="仿宋_GB2312"/>
          <w:sz w:val="32"/>
          <w:szCs w:val="32"/>
        </w:rPr>
      </w:pPr>
    </w:p>
    <w:p>
      <w:pPr>
        <w:spacing w:line="600" w:lineRule="exact"/>
        <w:rPr>
          <w:rFonts w:eastAsia="仿宋_GB2312"/>
          <w:sz w:val="32"/>
          <w:szCs w:val="32"/>
        </w:rPr>
      </w:pPr>
    </w:p>
    <w:p>
      <w:pPr>
        <w:spacing w:line="600" w:lineRule="exact"/>
        <w:rPr>
          <w:rFonts w:eastAsia="仿宋_GB2312"/>
          <w:sz w:val="32"/>
          <w:szCs w:val="32"/>
        </w:rPr>
      </w:pPr>
    </w:p>
    <w:p>
      <w:pPr>
        <w:spacing w:line="600" w:lineRule="exact"/>
        <w:rPr>
          <w:rFonts w:eastAsia="仿宋_GB2312"/>
          <w:sz w:val="32"/>
          <w:szCs w:val="32"/>
        </w:rPr>
      </w:pPr>
    </w:p>
    <w:p>
      <w:pPr>
        <w:spacing w:line="600" w:lineRule="exact"/>
        <w:rPr>
          <w:rFonts w:eastAsia="仿宋_GB2312"/>
          <w:sz w:val="32"/>
          <w:szCs w:val="32"/>
        </w:rPr>
      </w:pPr>
    </w:p>
    <w:p>
      <w:pPr>
        <w:spacing w:line="600" w:lineRule="exact"/>
        <w:rPr>
          <w:rFonts w:eastAsia="仿宋_GB2312"/>
          <w:sz w:val="32"/>
          <w:szCs w:val="32"/>
        </w:rPr>
      </w:pPr>
    </w:p>
    <w:p>
      <w:pPr>
        <w:spacing w:line="600" w:lineRule="exact"/>
        <w:rPr>
          <w:rFonts w:eastAsia="仿宋_GB2312"/>
          <w:sz w:val="32"/>
          <w:szCs w:val="32"/>
        </w:rPr>
      </w:pPr>
    </w:p>
    <w:p>
      <w:pPr>
        <w:spacing w:line="600" w:lineRule="exact"/>
        <w:rPr>
          <w:rFonts w:eastAsia="仿宋_GB2312"/>
          <w:sz w:val="32"/>
          <w:szCs w:val="32"/>
        </w:rPr>
      </w:pPr>
    </w:p>
    <w:p>
      <w:pPr>
        <w:spacing w:line="600" w:lineRule="exact"/>
        <w:rPr>
          <w:rFonts w:eastAsia="仿宋_GB2312"/>
          <w:sz w:val="32"/>
          <w:szCs w:val="32"/>
        </w:rPr>
      </w:pPr>
    </w:p>
    <w:p>
      <w:pPr>
        <w:spacing w:line="600" w:lineRule="exact"/>
        <w:rPr>
          <w:rFonts w:eastAsia="仿宋_GB2312"/>
          <w:sz w:val="32"/>
          <w:szCs w:val="32"/>
        </w:rPr>
      </w:pPr>
    </w:p>
    <w:p>
      <w:pPr>
        <w:spacing w:line="560" w:lineRule="exact"/>
        <w:jc w:val="center"/>
        <w:rPr>
          <w:rFonts w:ascii="方正小标宋_GBK" w:hAnsi="方正小标宋_GBK" w:eastAsia="方正小标宋_GBK"/>
          <w:kern w:val="0"/>
          <w:sz w:val="44"/>
          <w:szCs w:val="44"/>
        </w:rPr>
      </w:pPr>
      <w:r>
        <w:rPr>
          <w:rFonts w:hint="eastAsia" w:ascii="方正小标宋_GBK" w:hAnsi="方正小标宋_GBK" w:eastAsia="方正小标宋_GBK"/>
          <w:kern w:val="0"/>
          <w:sz w:val="44"/>
          <w:szCs w:val="44"/>
          <w:lang w:eastAsia="zh-CN"/>
        </w:rPr>
        <w:t>江永县第二中学</w:t>
      </w:r>
      <w:r>
        <w:rPr>
          <w:rFonts w:ascii="方正小标宋_GBK" w:hAnsi="方正小标宋_GBK" w:eastAsia="方正小标宋_GBK"/>
          <w:kern w:val="0"/>
          <w:sz w:val="44"/>
          <w:szCs w:val="44"/>
        </w:rPr>
        <w:t>部门整体支出</w:t>
      </w:r>
    </w:p>
    <w:p>
      <w:pPr>
        <w:spacing w:line="560" w:lineRule="exact"/>
        <w:jc w:val="center"/>
        <w:rPr>
          <w:rFonts w:ascii="方正小标宋_GBK" w:hAnsi="方正小标宋_GBK" w:eastAsia="方正小标宋_GBK"/>
          <w:kern w:val="0"/>
          <w:sz w:val="18"/>
          <w:szCs w:val="18"/>
        </w:rPr>
      </w:pPr>
      <w:r>
        <w:rPr>
          <w:rFonts w:ascii="方正小标宋_GBK" w:hAnsi="方正小标宋_GBK" w:eastAsia="方正小标宋_GBK"/>
          <w:kern w:val="0"/>
          <w:sz w:val="44"/>
          <w:szCs w:val="44"/>
        </w:rPr>
        <w:t>绩效评价表</w:t>
      </w:r>
    </w:p>
    <w:tbl>
      <w:tblPr>
        <w:tblStyle w:val="7"/>
        <w:tblpPr w:leftFromText="180" w:rightFromText="180" w:vertAnchor="text" w:horzAnchor="page" w:tblpX="750" w:tblpY="284"/>
        <w:tblOverlap w:val="never"/>
        <w:tblW w:w="10608" w:type="dxa"/>
        <w:tblInd w:w="0" w:type="dxa"/>
        <w:tblLayout w:type="fixed"/>
        <w:tblCellMar>
          <w:top w:w="0" w:type="dxa"/>
          <w:left w:w="108" w:type="dxa"/>
          <w:bottom w:w="0" w:type="dxa"/>
          <w:right w:w="108" w:type="dxa"/>
        </w:tblCellMar>
      </w:tblPr>
      <w:tblGrid>
        <w:gridCol w:w="518"/>
        <w:gridCol w:w="416"/>
        <w:gridCol w:w="432"/>
        <w:gridCol w:w="245"/>
        <w:gridCol w:w="416"/>
        <w:gridCol w:w="1194"/>
        <w:gridCol w:w="478"/>
        <w:gridCol w:w="2977"/>
        <w:gridCol w:w="3402"/>
        <w:gridCol w:w="522"/>
        <w:gridCol w:w="8"/>
      </w:tblGrid>
      <w:tr>
        <w:tblPrEx>
          <w:tblCellMar>
            <w:top w:w="0" w:type="dxa"/>
            <w:left w:w="108" w:type="dxa"/>
            <w:bottom w:w="0" w:type="dxa"/>
            <w:right w:w="108" w:type="dxa"/>
          </w:tblCellMar>
        </w:tblPrEx>
        <w:trPr>
          <w:gridAfter w:val="1"/>
          <w:wAfter w:w="8" w:type="dxa"/>
        </w:trPr>
        <w:tc>
          <w:tcPr>
            <w:tcW w:w="518"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一级指标</w:t>
            </w:r>
          </w:p>
        </w:tc>
        <w:tc>
          <w:tcPr>
            <w:tcW w:w="416" w:type="dxa"/>
            <w:tcBorders>
              <w:top w:val="single" w:color="auto" w:sz="4" w:space="0"/>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分值</w:t>
            </w:r>
          </w:p>
        </w:tc>
        <w:tc>
          <w:tcPr>
            <w:tcW w:w="677" w:type="dxa"/>
            <w:gridSpan w:val="2"/>
            <w:tcBorders>
              <w:top w:val="single" w:color="auto" w:sz="4" w:space="0"/>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二级指标</w:t>
            </w:r>
          </w:p>
        </w:tc>
        <w:tc>
          <w:tcPr>
            <w:tcW w:w="416" w:type="dxa"/>
            <w:tcBorders>
              <w:top w:val="single" w:color="auto" w:sz="4" w:space="0"/>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分值</w:t>
            </w:r>
          </w:p>
        </w:tc>
        <w:tc>
          <w:tcPr>
            <w:tcW w:w="1194" w:type="dxa"/>
            <w:tcBorders>
              <w:top w:val="single" w:color="auto" w:sz="4" w:space="0"/>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三级</w:t>
            </w:r>
          </w:p>
          <w:p>
            <w:pPr>
              <w:widowControl/>
              <w:jc w:val="center"/>
              <w:rPr>
                <w:rFonts w:eastAsia="仿宋_GB2312"/>
                <w:kern w:val="0"/>
                <w:sz w:val="20"/>
                <w:szCs w:val="20"/>
              </w:rPr>
            </w:pPr>
            <w:r>
              <w:rPr>
                <w:rFonts w:eastAsia="仿宋_GB2312"/>
                <w:kern w:val="0"/>
                <w:sz w:val="20"/>
                <w:szCs w:val="20"/>
              </w:rPr>
              <w:t>指标</w:t>
            </w:r>
          </w:p>
        </w:tc>
        <w:tc>
          <w:tcPr>
            <w:tcW w:w="478" w:type="dxa"/>
            <w:tcBorders>
              <w:top w:val="single" w:color="auto" w:sz="4" w:space="0"/>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分值</w:t>
            </w:r>
          </w:p>
        </w:tc>
        <w:tc>
          <w:tcPr>
            <w:tcW w:w="2977" w:type="dxa"/>
            <w:tcBorders>
              <w:top w:val="single" w:color="auto" w:sz="4" w:space="0"/>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评价标准</w:t>
            </w:r>
          </w:p>
        </w:tc>
        <w:tc>
          <w:tcPr>
            <w:tcW w:w="3402" w:type="dxa"/>
            <w:tcBorders>
              <w:top w:val="single" w:color="auto" w:sz="4" w:space="0"/>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指标</w:t>
            </w:r>
            <w:r>
              <w:rPr>
                <w:rFonts w:hint="eastAsia" w:eastAsia="仿宋_GB2312"/>
                <w:kern w:val="0"/>
                <w:sz w:val="20"/>
                <w:szCs w:val="20"/>
              </w:rPr>
              <w:t>党政机关采购项目资</w:t>
            </w:r>
            <w:r>
              <w:rPr>
                <w:rFonts w:eastAsia="仿宋_GB2312"/>
                <w:kern w:val="0"/>
                <w:sz w:val="20"/>
                <w:szCs w:val="20"/>
              </w:rPr>
              <w:t>说明</w:t>
            </w:r>
          </w:p>
        </w:tc>
        <w:tc>
          <w:tcPr>
            <w:tcW w:w="522" w:type="dxa"/>
            <w:tcBorders>
              <w:top w:val="single" w:color="auto" w:sz="4" w:space="0"/>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得分</w:t>
            </w:r>
          </w:p>
        </w:tc>
      </w:tr>
      <w:tr>
        <w:tblPrEx>
          <w:tblCellMar>
            <w:top w:w="0" w:type="dxa"/>
            <w:left w:w="108" w:type="dxa"/>
            <w:bottom w:w="0" w:type="dxa"/>
            <w:right w:w="108" w:type="dxa"/>
          </w:tblCellMar>
        </w:tblPrEx>
        <w:trPr>
          <w:gridAfter w:val="1"/>
          <w:wAfter w:w="8" w:type="dxa"/>
          <w:trHeight w:val="1814" w:hRule="atLeast"/>
        </w:trPr>
        <w:tc>
          <w:tcPr>
            <w:tcW w:w="518" w:type="dxa"/>
            <w:vMerge w:val="restart"/>
            <w:tcBorders>
              <w:top w:val="nil"/>
              <w:left w:val="single" w:color="auto" w:sz="4" w:space="0"/>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投入</w:t>
            </w:r>
          </w:p>
        </w:tc>
        <w:tc>
          <w:tcPr>
            <w:tcW w:w="416" w:type="dxa"/>
            <w:vMerge w:val="restart"/>
            <w:tcBorders>
              <w:top w:val="nil"/>
              <w:left w:val="nil"/>
              <w:bottom w:val="single" w:color="000000"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10</w:t>
            </w:r>
          </w:p>
        </w:tc>
        <w:tc>
          <w:tcPr>
            <w:tcW w:w="677" w:type="dxa"/>
            <w:gridSpan w:val="2"/>
            <w:vMerge w:val="restart"/>
            <w:tcBorders>
              <w:top w:val="nil"/>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预算配置</w:t>
            </w:r>
          </w:p>
        </w:tc>
        <w:tc>
          <w:tcPr>
            <w:tcW w:w="416" w:type="dxa"/>
            <w:vMerge w:val="restart"/>
            <w:tcBorders>
              <w:top w:val="nil"/>
              <w:left w:val="nil"/>
              <w:bottom w:val="single" w:color="000000"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10</w:t>
            </w:r>
          </w:p>
        </w:tc>
        <w:tc>
          <w:tcPr>
            <w:tcW w:w="1194"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在职人员控制率</w:t>
            </w:r>
          </w:p>
        </w:tc>
        <w:tc>
          <w:tcPr>
            <w:tcW w:w="478" w:type="dxa"/>
            <w:tcBorders>
              <w:top w:val="nil"/>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nil"/>
              <w:right w:val="nil"/>
            </w:tcBorders>
            <w:noWrap/>
            <w:vAlign w:val="center"/>
          </w:tcPr>
          <w:p>
            <w:pPr>
              <w:widowControl/>
              <w:jc w:val="left"/>
              <w:rPr>
                <w:rFonts w:eastAsia="仿宋_GB2312"/>
                <w:kern w:val="0"/>
                <w:sz w:val="20"/>
                <w:szCs w:val="20"/>
              </w:rPr>
            </w:pPr>
            <w:r>
              <w:rPr>
                <w:rFonts w:eastAsia="仿宋_GB2312"/>
                <w:kern w:val="0"/>
                <w:sz w:val="20"/>
                <w:szCs w:val="20"/>
              </w:rPr>
              <w:t>以100%</w:t>
            </w:r>
            <w:r>
              <w:rPr>
                <w:rFonts w:ascii="仿宋_GB2312" w:hAnsi="仿宋_GB2312" w:eastAsia="仿宋_GB2312"/>
                <w:kern w:val="0"/>
                <w:sz w:val="20"/>
                <w:szCs w:val="20"/>
              </w:rPr>
              <w:t>为标准。在职人员控制率</w:t>
            </w:r>
            <w:r>
              <w:rPr>
                <w:rFonts w:hint="eastAsia" w:ascii="宋体" w:hAnsi="宋体"/>
                <w:kern w:val="0"/>
                <w:sz w:val="20"/>
                <w:szCs w:val="20"/>
              </w:rPr>
              <w:t>≦</w:t>
            </w:r>
            <w:r>
              <w:rPr>
                <w:rFonts w:eastAsia="仿宋_GB2312"/>
                <w:kern w:val="0"/>
                <w:sz w:val="20"/>
                <w:szCs w:val="20"/>
              </w:rPr>
              <w:t>100%</w:t>
            </w:r>
            <w:r>
              <w:rPr>
                <w:rFonts w:ascii="仿宋_GB2312" w:hAnsi="仿宋_GB2312" w:eastAsia="仿宋_GB2312"/>
                <w:kern w:val="0"/>
                <w:sz w:val="20"/>
                <w:szCs w:val="20"/>
              </w:rPr>
              <w:t>，计</w:t>
            </w:r>
            <w:r>
              <w:rPr>
                <w:rFonts w:eastAsia="仿宋_GB2312"/>
                <w:kern w:val="0"/>
                <w:sz w:val="20"/>
                <w:szCs w:val="20"/>
              </w:rPr>
              <w:t>5</w:t>
            </w:r>
            <w:r>
              <w:rPr>
                <w:rFonts w:ascii="仿宋_GB2312" w:hAnsi="仿宋_GB2312" w:eastAsia="仿宋_GB2312"/>
                <w:kern w:val="0"/>
                <w:sz w:val="20"/>
                <w:szCs w:val="20"/>
              </w:rPr>
              <w:t>分；每超过一个百分点扣</w:t>
            </w:r>
            <w:r>
              <w:rPr>
                <w:rFonts w:eastAsia="仿宋_GB2312"/>
                <w:kern w:val="0"/>
                <w:sz w:val="20"/>
                <w:szCs w:val="20"/>
              </w:rPr>
              <w:t>0.5</w:t>
            </w:r>
            <w:r>
              <w:rPr>
                <w:rFonts w:ascii="仿宋_GB2312" w:hAnsi="仿宋_GB2312" w:eastAsia="仿宋_GB2312"/>
                <w:kern w:val="0"/>
                <w:sz w:val="20"/>
                <w:szCs w:val="20"/>
              </w:rPr>
              <w:t>分，扣完为止。</w:t>
            </w:r>
            <w:r>
              <w:rPr>
                <w:rFonts w:hint="eastAsia" w:ascii="仿宋_GB2312" w:hAnsi="仿宋_GB2312" w:eastAsia="仿宋_GB2312"/>
                <w:kern w:val="0"/>
                <w:sz w:val="20"/>
                <w:szCs w:val="20"/>
              </w:rPr>
              <w:t>98</w:t>
            </w:r>
          </w:p>
        </w:tc>
        <w:tc>
          <w:tcPr>
            <w:tcW w:w="3402" w:type="dxa"/>
            <w:tcBorders>
              <w:top w:val="nil"/>
              <w:left w:val="single" w:color="auto" w:sz="4" w:space="0"/>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在职人员控制率=</w:t>
            </w:r>
            <w:r>
              <w:rPr>
                <w:rFonts w:ascii="仿宋_GB2312" w:hAnsi="仿宋_GB2312" w:eastAsia="仿宋_GB2312"/>
                <w:kern w:val="0"/>
                <w:sz w:val="20"/>
                <w:szCs w:val="20"/>
              </w:rPr>
              <w:t>（在职人员数</w:t>
            </w:r>
            <w:r>
              <w:rPr>
                <w:rFonts w:eastAsia="仿宋_GB2312"/>
                <w:kern w:val="0"/>
                <w:sz w:val="20"/>
                <w:szCs w:val="20"/>
              </w:rPr>
              <w:t>/</w:t>
            </w:r>
            <w:r>
              <w:rPr>
                <w:rFonts w:ascii="仿宋_GB2312" w:hAnsi="仿宋_GB2312" w:eastAsia="仿宋_GB2312"/>
                <w:kern w:val="0"/>
                <w:sz w:val="20"/>
                <w:szCs w:val="20"/>
              </w:rPr>
              <w:t>编制数）</w:t>
            </w:r>
            <w:r>
              <w:rPr>
                <w:rFonts w:eastAsia="仿宋_GB2312"/>
                <w:kern w:val="0"/>
                <w:sz w:val="20"/>
                <w:szCs w:val="20"/>
              </w:rPr>
              <w:t>×100%</w:t>
            </w:r>
            <w:r>
              <w:rPr>
                <w:rFonts w:ascii="仿宋_GB2312" w:hAnsi="仿宋_GB2312" w:eastAsia="仿宋_GB2312"/>
                <w:kern w:val="0"/>
                <w:sz w:val="20"/>
                <w:szCs w:val="20"/>
              </w:rPr>
              <w:t>，在职人员数：部门（单位）实际在职人数，以</w:t>
            </w:r>
            <w:r>
              <w:rPr>
                <w:kern w:val="0"/>
                <w:sz w:val="20"/>
                <w:szCs w:val="20"/>
              </w:rPr>
              <w:t>市</w:t>
            </w:r>
            <w:r>
              <w:rPr>
                <w:rFonts w:eastAsia="仿宋_GB2312"/>
                <w:kern w:val="0"/>
                <w:sz w:val="20"/>
                <w:szCs w:val="20"/>
              </w:rPr>
              <w:t>财政</w:t>
            </w:r>
            <w:r>
              <w:rPr>
                <w:kern w:val="0"/>
                <w:sz w:val="20"/>
                <w:szCs w:val="20"/>
              </w:rPr>
              <w:t>局</w:t>
            </w:r>
            <w:r>
              <w:rPr>
                <w:rFonts w:eastAsia="仿宋_GB2312"/>
                <w:kern w:val="0"/>
                <w:sz w:val="20"/>
                <w:szCs w:val="20"/>
              </w:rPr>
              <w:t>确定的部门决算编制口径为准。</w:t>
            </w:r>
          </w:p>
          <w:p>
            <w:pPr>
              <w:widowControl/>
              <w:jc w:val="left"/>
              <w:rPr>
                <w:rFonts w:eastAsia="仿宋_GB2312"/>
                <w:kern w:val="0"/>
                <w:sz w:val="20"/>
                <w:szCs w:val="20"/>
              </w:rPr>
            </w:pPr>
            <w:r>
              <w:rPr>
                <w:rFonts w:eastAsia="仿宋_GB2312"/>
                <w:kern w:val="0"/>
                <w:sz w:val="20"/>
                <w:szCs w:val="20"/>
              </w:rPr>
              <w:t>编制数：机构编制部门核定批复的部门（单位）的人员编制数。</w:t>
            </w:r>
          </w:p>
        </w:tc>
        <w:tc>
          <w:tcPr>
            <w:tcW w:w="522" w:type="dxa"/>
            <w:tcBorders>
              <w:top w:val="nil"/>
              <w:left w:val="nil"/>
              <w:bottom w:val="single" w:color="auto" w:sz="4" w:space="0"/>
              <w:right w:val="single" w:color="auto" w:sz="4" w:space="0"/>
            </w:tcBorders>
            <w:noWrap/>
            <w:vAlign w:val="center"/>
          </w:tcPr>
          <w:p>
            <w:pPr>
              <w:widowControl/>
              <w:jc w:val="center"/>
              <w:rPr>
                <w:kern w:val="0"/>
                <w:sz w:val="24"/>
              </w:rPr>
            </w:pPr>
            <w:r>
              <w:rPr>
                <w:kern w:val="0"/>
                <w:sz w:val="24"/>
              </w:rPr>
              <w:t>5</w:t>
            </w:r>
          </w:p>
        </w:tc>
      </w:tr>
      <w:tr>
        <w:tblPrEx>
          <w:tblCellMar>
            <w:top w:w="0" w:type="dxa"/>
            <w:left w:w="108" w:type="dxa"/>
            <w:bottom w:w="0" w:type="dxa"/>
            <w:right w:w="108" w:type="dxa"/>
          </w:tblCellMar>
        </w:tblPrEx>
        <w:trPr>
          <w:gridAfter w:val="1"/>
          <w:wAfter w:w="8" w:type="dxa"/>
        </w:trPr>
        <w:tc>
          <w:tcPr>
            <w:tcW w:w="518" w:type="dxa"/>
            <w:vMerge w:val="continue"/>
            <w:tcBorders>
              <w:top w:val="nil"/>
              <w:left w:val="single" w:color="auto" w:sz="4" w:space="0"/>
              <w:bottom w:val="single" w:color="auto" w:sz="4" w:space="0"/>
              <w:right w:val="single" w:color="auto" w:sz="4" w:space="0"/>
            </w:tcBorders>
            <w:noWrap/>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bookmarkStart w:id="0" w:name="_GoBack"/>
            <w:bookmarkEnd w:id="0"/>
            <w:r>
              <w:rPr>
                <w:rFonts w:hint="eastAsia" w:eastAsia="仿宋_GB2312"/>
                <w:kern w:val="0"/>
                <w:sz w:val="20"/>
                <w:szCs w:val="20"/>
                <w:lang w:eastAsia="zh-CN"/>
              </w:rPr>
              <w:t>“三公"经费</w:t>
            </w:r>
            <w:r>
              <w:rPr>
                <w:rFonts w:ascii="仿宋_GB2312" w:hAnsi="仿宋_GB2312" w:eastAsia="仿宋_GB2312"/>
                <w:kern w:val="0"/>
                <w:sz w:val="20"/>
                <w:szCs w:val="20"/>
              </w:rPr>
              <w:t>变动率</w:t>
            </w:r>
          </w:p>
        </w:tc>
        <w:tc>
          <w:tcPr>
            <w:tcW w:w="478" w:type="dxa"/>
            <w:tcBorders>
              <w:top w:val="nil"/>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single" w:color="auto" w:sz="4" w:space="0"/>
              <w:left w:val="nil"/>
              <w:bottom w:val="single" w:color="auto" w:sz="4" w:space="0"/>
              <w:right w:val="single" w:color="auto" w:sz="4" w:space="0"/>
            </w:tcBorders>
            <w:noWrap/>
            <w:vAlign w:val="center"/>
          </w:tcPr>
          <w:p>
            <w:pPr>
              <w:widowControl/>
              <w:jc w:val="left"/>
              <w:rPr>
                <w:rFonts w:eastAsia="仿宋_GB2312"/>
                <w:kern w:val="0"/>
                <w:sz w:val="20"/>
                <w:szCs w:val="20"/>
              </w:rPr>
            </w:pPr>
            <w:r>
              <w:rPr>
                <w:rFonts w:hint="eastAsia" w:eastAsia="仿宋_GB2312"/>
                <w:kern w:val="0"/>
                <w:sz w:val="20"/>
                <w:szCs w:val="20"/>
                <w:lang w:eastAsia="zh-CN"/>
              </w:rPr>
              <w:t>“三公"经费</w:t>
            </w:r>
            <w:r>
              <w:rPr>
                <w:rFonts w:ascii="仿宋_GB2312" w:hAnsi="仿宋_GB2312" w:eastAsia="仿宋_GB2312"/>
                <w:kern w:val="0"/>
                <w:sz w:val="20"/>
                <w:szCs w:val="20"/>
              </w:rPr>
              <w:t>变动率</w:t>
            </w:r>
            <w:r>
              <w:rPr>
                <w:rFonts w:hint="eastAsia" w:ascii="宋体" w:hAnsi="宋体"/>
                <w:kern w:val="0"/>
                <w:sz w:val="20"/>
                <w:szCs w:val="20"/>
              </w:rPr>
              <w:t>≦</w:t>
            </w:r>
            <w:r>
              <w:rPr>
                <w:rFonts w:eastAsia="仿宋_GB2312"/>
                <w:kern w:val="0"/>
                <w:sz w:val="20"/>
                <w:szCs w:val="20"/>
              </w:rPr>
              <w:t>0,</w:t>
            </w:r>
            <w:r>
              <w:rPr>
                <w:rFonts w:ascii="仿宋_GB2312" w:hAnsi="仿宋_GB2312" w:eastAsia="仿宋_GB2312"/>
                <w:kern w:val="0"/>
                <w:sz w:val="20"/>
                <w:szCs w:val="20"/>
              </w:rPr>
              <w:t>计</w:t>
            </w:r>
            <w:r>
              <w:rPr>
                <w:kern w:val="0"/>
                <w:sz w:val="20"/>
                <w:szCs w:val="20"/>
              </w:rPr>
              <w:t>5</w:t>
            </w:r>
            <w:r>
              <w:rPr>
                <w:rFonts w:eastAsia="仿宋_GB2312"/>
                <w:kern w:val="0"/>
                <w:sz w:val="20"/>
                <w:szCs w:val="20"/>
              </w:rPr>
              <w:t>分；</w:t>
            </w:r>
            <w:r>
              <w:rPr>
                <w:rFonts w:hint="eastAsia" w:eastAsia="仿宋_GB2312"/>
                <w:kern w:val="0"/>
                <w:sz w:val="20"/>
                <w:szCs w:val="20"/>
                <w:lang w:eastAsia="zh-CN"/>
              </w:rPr>
              <w:t>“三公"经费</w:t>
            </w:r>
            <w:r>
              <w:rPr>
                <w:rFonts w:ascii="仿宋_GB2312" w:hAnsi="仿宋_GB2312" w:eastAsia="仿宋_GB2312"/>
                <w:kern w:val="0"/>
                <w:sz w:val="20"/>
                <w:szCs w:val="20"/>
              </w:rPr>
              <w:t>＞</w:t>
            </w:r>
            <w:r>
              <w:rPr>
                <w:rFonts w:eastAsia="仿宋_GB2312"/>
                <w:kern w:val="0"/>
                <w:sz w:val="20"/>
                <w:szCs w:val="20"/>
              </w:rPr>
              <w:t>0</w:t>
            </w:r>
            <w:r>
              <w:rPr>
                <w:rFonts w:ascii="仿宋_GB2312" w:hAnsi="仿宋_GB2312" w:eastAsia="仿宋_GB2312"/>
                <w:kern w:val="0"/>
                <w:sz w:val="20"/>
                <w:szCs w:val="20"/>
              </w:rPr>
              <w:t>，每超过一个百分点扣</w:t>
            </w:r>
            <w:r>
              <w:rPr>
                <w:rFonts w:eastAsia="仿宋_GB2312"/>
                <w:kern w:val="0"/>
                <w:sz w:val="20"/>
                <w:szCs w:val="20"/>
              </w:rPr>
              <w:t>0.8</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hint="eastAsia" w:eastAsia="仿宋_GB2312"/>
                <w:kern w:val="0"/>
                <w:sz w:val="20"/>
                <w:szCs w:val="20"/>
                <w:lang w:eastAsia="zh-CN"/>
              </w:rPr>
              <w:t>“三公"经费</w:t>
            </w:r>
            <w:r>
              <w:rPr>
                <w:rFonts w:ascii="仿宋_GB2312" w:hAnsi="仿宋_GB2312" w:eastAsia="仿宋_GB2312"/>
                <w:kern w:val="0"/>
                <w:sz w:val="20"/>
                <w:szCs w:val="20"/>
              </w:rPr>
              <w:t>变动率</w:t>
            </w:r>
            <w:r>
              <w:rPr>
                <w:rFonts w:eastAsia="仿宋_GB2312"/>
                <w:kern w:val="0"/>
                <w:sz w:val="20"/>
                <w:szCs w:val="20"/>
              </w:rPr>
              <w:t>=[</w:t>
            </w:r>
            <w:r>
              <w:rPr>
                <w:rFonts w:ascii="仿宋_GB2312" w:hAnsi="仿宋_GB2312" w:eastAsia="仿宋_GB2312"/>
                <w:kern w:val="0"/>
                <w:sz w:val="20"/>
                <w:szCs w:val="20"/>
              </w:rPr>
              <w:t>（本年度</w:t>
            </w:r>
            <w:r>
              <w:rPr>
                <w:rFonts w:hint="eastAsia" w:eastAsia="仿宋_GB2312"/>
                <w:kern w:val="0"/>
                <w:sz w:val="20"/>
                <w:szCs w:val="20"/>
                <w:lang w:eastAsia="zh-CN"/>
              </w:rPr>
              <w:t>“三公"经费</w:t>
            </w:r>
            <w:r>
              <w:rPr>
                <w:rFonts w:ascii="仿宋_GB2312" w:hAnsi="仿宋_GB2312" w:eastAsia="仿宋_GB2312"/>
                <w:kern w:val="0"/>
                <w:sz w:val="20"/>
                <w:szCs w:val="20"/>
              </w:rPr>
              <w:t>预算数</w:t>
            </w:r>
            <w:r>
              <w:rPr>
                <w:rFonts w:eastAsia="仿宋_GB2312"/>
                <w:kern w:val="0"/>
                <w:sz w:val="20"/>
                <w:szCs w:val="20"/>
              </w:rPr>
              <w:t>-</w:t>
            </w:r>
            <w:r>
              <w:rPr>
                <w:rFonts w:ascii="仿宋_GB2312" w:hAnsi="仿宋_GB2312" w:eastAsia="仿宋_GB2312"/>
                <w:kern w:val="0"/>
                <w:sz w:val="20"/>
                <w:szCs w:val="20"/>
              </w:rPr>
              <w:t>上年度</w:t>
            </w:r>
            <w:r>
              <w:rPr>
                <w:rFonts w:hint="eastAsia" w:eastAsia="仿宋_GB2312"/>
                <w:kern w:val="0"/>
                <w:sz w:val="20"/>
                <w:szCs w:val="20"/>
                <w:lang w:eastAsia="zh-CN"/>
              </w:rPr>
              <w:t>“三公"经费</w:t>
            </w:r>
            <w:r>
              <w:rPr>
                <w:rFonts w:ascii="仿宋_GB2312" w:hAnsi="仿宋_GB2312" w:eastAsia="仿宋_GB2312"/>
                <w:kern w:val="0"/>
                <w:sz w:val="20"/>
                <w:szCs w:val="20"/>
              </w:rPr>
              <w:t>预算数）</w:t>
            </w:r>
            <w:r>
              <w:rPr>
                <w:rFonts w:eastAsia="仿宋_GB2312"/>
                <w:kern w:val="0"/>
                <w:sz w:val="20"/>
                <w:szCs w:val="20"/>
              </w:rPr>
              <w:t>/</w:t>
            </w:r>
            <w:r>
              <w:rPr>
                <w:rFonts w:ascii="仿宋_GB2312" w:hAnsi="仿宋_GB2312" w:eastAsia="仿宋_GB2312"/>
                <w:kern w:val="0"/>
                <w:sz w:val="20"/>
                <w:szCs w:val="20"/>
              </w:rPr>
              <w:t>上年度</w:t>
            </w:r>
            <w:r>
              <w:rPr>
                <w:rFonts w:hint="eastAsia" w:eastAsia="仿宋_GB2312"/>
                <w:kern w:val="0"/>
                <w:sz w:val="20"/>
                <w:szCs w:val="20"/>
                <w:lang w:eastAsia="zh-CN"/>
              </w:rPr>
              <w:t>“三公"经费</w:t>
            </w:r>
            <w:r>
              <w:rPr>
                <w:rFonts w:ascii="仿宋_GB2312" w:hAnsi="仿宋_GB2312" w:eastAsia="仿宋_GB2312"/>
                <w:kern w:val="0"/>
                <w:sz w:val="20"/>
                <w:szCs w:val="20"/>
              </w:rPr>
              <w:t>预算数</w:t>
            </w:r>
            <w:r>
              <w:rPr>
                <w:rFonts w:eastAsia="仿宋_GB2312"/>
                <w:kern w:val="0"/>
                <w:sz w:val="20"/>
                <w:szCs w:val="20"/>
              </w:rPr>
              <w:t>]×100%</w:t>
            </w:r>
          </w:p>
        </w:tc>
        <w:tc>
          <w:tcPr>
            <w:tcW w:w="522" w:type="dxa"/>
            <w:tcBorders>
              <w:top w:val="nil"/>
              <w:left w:val="nil"/>
              <w:bottom w:val="single" w:color="auto" w:sz="4" w:space="0"/>
              <w:right w:val="single" w:color="auto" w:sz="4" w:space="0"/>
            </w:tcBorders>
            <w:noWrap/>
            <w:vAlign w:val="center"/>
          </w:tcPr>
          <w:p>
            <w:pPr>
              <w:widowControl/>
              <w:jc w:val="center"/>
              <w:rPr>
                <w:kern w:val="0"/>
                <w:sz w:val="24"/>
              </w:rPr>
            </w:pPr>
            <w:r>
              <w:rPr>
                <w:kern w:val="0"/>
                <w:sz w:val="24"/>
              </w:rPr>
              <w:t>5</w:t>
            </w:r>
          </w:p>
        </w:tc>
      </w:tr>
      <w:tr>
        <w:tblPrEx>
          <w:tblCellMar>
            <w:top w:w="0" w:type="dxa"/>
            <w:left w:w="108" w:type="dxa"/>
            <w:bottom w:w="0" w:type="dxa"/>
            <w:right w:w="108" w:type="dxa"/>
          </w:tblCellMar>
        </w:tblPrEx>
        <w:trPr>
          <w:gridAfter w:val="1"/>
          <w:wAfter w:w="8" w:type="dxa"/>
        </w:trPr>
        <w:tc>
          <w:tcPr>
            <w:tcW w:w="518" w:type="dxa"/>
            <w:vMerge w:val="restart"/>
            <w:tcBorders>
              <w:top w:val="nil"/>
              <w:left w:val="single" w:color="auto" w:sz="4" w:space="0"/>
              <w:bottom w:val="single" w:color="000000"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过                                                                                                                                       程</w:t>
            </w:r>
          </w:p>
        </w:tc>
        <w:tc>
          <w:tcPr>
            <w:tcW w:w="416" w:type="dxa"/>
            <w:vMerge w:val="restart"/>
            <w:tcBorders>
              <w:top w:val="nil"/>
              <w:left w:val="nil"/>
              <w:bottom w:val="single" w:color="000000"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60</w:t>
            </w:r>
          </w:p>
        </w:tc>
        <w:tc>
          <w:tcPr>
            <w:tcW w:w="677" w:type="dxa"/>
            <w:gridSpan w:val="2"/>
            <w:vMerge w:val="restart"/>
            <w:tcBorders>
              <w:top w:val="nil"/>
              <w:left w:val="nil"/>
              <w:bottom w:val="single" w:color="000000"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预算执行</w:t>
            </w:r>
          </w:p>
        </w:tc>
        <w:tc>
          <w:tcPr>
            <w:tcW w:w="416" w:type="dxa"/>
            <w:vMerge w:val="restart"/>
            <w:tcBorders>
              <w:top w:val="nil"/>
              <w:left w:val="nil"/>
              <w:bottom w:val="single" w:color="000000"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20</w:t>
            </w:r>
          </w:p>
        </w:tc>
        <w:tc>
          <w:tcPr>
            <w:tcW w:w="1194"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预算完成率</w:t>
            </w:r>
          </w:p>
        </w:tc>
        <w:tc>
          <w:tcPr>
            <w:tcW w:w="478" w:type="dxa"/>
            <w:tcBorders>
              <w:top w:val="nil"/>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计满分，每低于</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预算完成率=</w:t>
            </w:r>
            <w:r>
              <w:rPr>
                <w:rFonts w:ascii="仿宋_GB2312" w:hAnsi="仿宋_GB2312" w:eastAsia="仿宋_GB2312"/>
                <w:kern w:val="0"/>
                <w:sz w:val="20"/>
                <w:szCs w:val="20"/>
              </w:rPr>
              <w:t>（上年结转</w:t>
            </w:r>
            <w:r>
              <w:rPr>
                <w:rFonts w:eastAsia="仿宋_GB2312"/>
                <w:kern w:val="0"/>
                <w:sz w:val="20"/>
                <w:szCs w:val="20"/>
              </w:rPr>
              <w:t>+</w:t>
            </w:r>
            <w:r>
              <w:rPr>
                <w:rFonts w:ascii="仿宋_GB2312" w:hAnsi="仿宋_GB2312" w:eastAsia="仿宋_GB2312"/>
                <w:kern w:val="0"/>
                <w:sz w:val="20"/>
                <w:szCs w:val="20"/>
              </w:rPr>
              <w:t>年初预算</w:t>
            </w:r>
            <w:r>
              <w:rPr>
                <w:rFonts w:eastAsia="仿宋_GB2312"/>
                <w:kern w:val="0"/>
                <w:sz w:val="20"/>
                <w:szCs w:val="20"/>
              </w:rPr>
              <w:t>+</w:t>
            </w:r>
            <w:r>
              <w:rPr>
                <w:rFonts w:ascii="仿宋_GB2312" w:hAnsi="仿宋_GB2312" w:eastAsia="仿宋_GB2312"/>
                <w:kern w:val="0"/>
                <w:sz w:val="20"/>
                <w:szCs w:val="20"/>
              </w:rPr>
              <w:t>本年追加预算</w:t>
            </w:r>
            <w:r>
              <w:rPr>
                <w:rFonts w:eastAsia="仿宋_GB2312"/>
                <w:kern w:val="0"/>
                <w:sz w:val="20"/>
                <w:szCs w:val="20"/>
              </w:rPr>
              <w:t>-</w:t>
            </w:r>
            <w:r>
              <w:rPr>
                <w:rFonts w:ascii="仿宋_GB2312" w:hAnsi="仿宋_GB2312" w:eastAsia="仿宋_GB2312"/>
                <w:kern w:val="0"/>
                <w:sz w:val="20"/>
                <w:szCs w:val="20"/>
              </w:rPr>
              <w:t>年末结余）</w:t>
            </w:r>
            <w:r>
              <w:rPr>
                <w:rFonts w:eastAsia="仿宋_GB2312"/>
                <w:kern w:val="0"/>
                <w:sz w:val="20"/>
                <w:szCs w:val="20"/>
              </w:rPr>
              <w:t>/</w:t>
            </w:r>
            <w:r>
              <w:rPr>
                <w:rFonts w:ascii="仿宋_GB2312" w:hAnsi="仿宋_GB2312" w:eastAsia="仿宋_GB2312"/>
                <w:kern w:val="0"/>
                <w:sz w:val="20"/>
                <w:szCs w:val="20"/>
              </w:rPr>
              <w:t>（上年结转</w:t>
            </w:r>
            <w:r>
              <w:rPr>
                <w:rFonts w:eastAsia="仿宋_GB2312"/>
                <w:kern w:val="0"/>
                <w:sz w:val="20"/>
                <w:szCs w:val="20"/>
              </w:rPr>
              <w:t>+</w:t>
            </w:r>
            <w:r>
              <w:rPr>
                <w:rFonts w:ascii="仿宋_GB2312" w:hAnsi="仿宋_GB2312" w:eastAsia="仿宋_GB2312"/>
                <w:kern w:val="0"/>
                <w:sz w:val="20"/>
                <w:szCs w:val="20"/>
              </w:rPr>
              <w:t>年初预算</w:t>
            </w:r>
            <w:r>
              <w:rPr>
                <w:rFonts w:eastAsia="仿宋_GB2312"/>
                <w:kern w:val="0"/>
                <w:sz w:val="20"/>
                <w:szCs w:val="20"/>
              </w:rPr>
              <w:t>+</w:t>
            </w:r>
            <w:r>
              <w:rPr>
                <w:rFonts w:ascii="仿宋_GB2312" w:hAnsi="仿宋_GB2312" w:eastAsia="仿宋_GB2312"/>
                <w:kern w:val="0"/>
                <w:sz w:val="20"/>
                <w:szCs w:val="20"/>
              </w:rPr>
              <w:t>本年追加预算）</w:t>
            </w:r>
            <w:r>
              <w:rPr>
                <w:rFonts w:eastAsia="仿宋_GB2312"/>
                <w:kern w:val="0"/>
                <w:sz w:val="20"/>
                <w:szCs w:val="20"/>
              </w:rPr>
              <w:t>×100%</w:t>
            </w:r>
            <w:r>
              <w:rPr>
                <w:rFonts w:ascii="仿宋_GB2312" w:hAnsi="仿宋_GB2312" w:eastAsia="仿宋_GB2312"/>
                <w:kern w:val="0"/>
                <w:sz w:val="20"/>
                <w:szCs w:val="20"/>
              </w:rPr>
              <w:t>。</w:t>
            </w:r>
          </w:p>
        </w:tc>
        <w:tc>
          <w:tcPr>
            <w:tcW w:w="522" w:type="dxa"/>
            <w:tcBorders>
              <w:top w:val="nil"/>
              <w:left w:val="nil"/>
              <w:bottom w:val="single" w:color="auto" w:sz="4" w:space="0"/>
              <w:right w:val="single" w:color="auto" w:sz="4" w:space="0"/>
            </w:tcBorders>
            <w:noWrap/>
            <w:vAlign w:val="center"/>
          </w:tcPr>
          <w:p>
            <w:pPr>
              <w:widowControl/>
              <w:jc w:val="center"/>
              <w:rPr>
                <w:kern w:val="0"/>
                <w:sz w:val="24"/>
              </w:rPr>
            </w:pPr>
            <w:r>
              <w:rPr>
                <w:kern w:val="0"/>
                <w:sz w:val="24"/>
              </w:rPr>
              <w:t>5</w:t>
            </w:r>
          </w:p>
        </w:tc>
      </w:tr>
      <w:tr>
        <w:tblPrEx>
          <w:tblCellMar>
            <w:top w:w="0" w:type="dxa"/>
            <w:left w:w="108" w:type="dxa"/>
            <w:bottom w:w="0" w:type="dxa"/>
            <w:right w:w="108" w:type="dxa"/>
          </w:tblCellMar>
        </w:tblPrEx>
        <w:trPr>
          <w:gridAfter w:val="1"/>
          <w:wAfter w:w="8" w:type="dxa"/>
          <w:trHeight w:val="1273" w:hRule="atLeast"/>
        </w:trPr>
        <w:tc>
          <w:tcPr>
            <w:tcW w:w="518" w:type="dxa"/>
            <w:vMerge w:val="continue"/>
            <w:tcBorders>
              <w:top w:val="nil"/>
              <w:left w:val="single" w:color="auto" w:sz="4" w:space="0"/>
              <w:bottom w:val="single" w:color="000000" w:sz="4" w:space="0"/>
              <w:right w:val="single" w:color="auto" w:sz="4" w:space="0"/>
            </w:tcBorders>
            <w:noWrap/>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预算控制率</w:t>
            </w:r>
          </w:p>
        </w:tc>
        <w:tc>
          <w:tcPr>
            <w:tcW w:w="478" w:type="dxa"/>
            <w:tcBorders>
              <w:top w:val="nil"/>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预算控制率=0</w:t>
            </w:r>
            <w:r>
              <w:rPr>
                <w:rFonts w:ascii="仿宋_GB2312" w:hAnsi="仿宋_GB2312" w:eastAsia="仿宋_GB2312"/>
                <w:kern w:val="0"/>
                <w:sz w:val="20"/>
                <w:szCs w:val="20"/>
              </w:rPr>
              <w:t>，计</w:t>
            </w:r>
            <w:r>
              <w:rPr>
                <w:rFonts w:eastAsia="仿宋_GB2312"/>
                <w:kern w:val="0"/>
                <w:sz w:val="20"/>
                <w:szCs w:val="20"/>
              </w:rPr>
              <w:t>5</w:t>
            </w:r>
            <w:r>
              <w:rPr>
                <w:rFonts w:ascii="仿宋_GB2312" w:hAnsi="仿宋_GB2312" w:eastAsia="仿宋_GB2312"/>
                <w:kern w:val="0"/>
                <w:sz w:val="20"/>
                <w:szCs w:val="20"/>
              </w:rPr>
              <w:t>分；</w:t>
            </w:r>
            <w:r>
              <w:rPr>
                <w:rFonts w:eastAsia="仿宋_GB2312"/>
                <w:kern w:val="0"/>
                <w:sz w:val="20"/>
                <w:szCs w:val="20"/>
              </w:rPr>
              <w:t>0-10%</w:t>
            </w:r>
            <w:r>
              <w:rPr>
                <w:rFonts w:ascii="仿宋_GB2312" w:hAnsi="仿宋_GB2312" w:eastAsia="仿宋_GB2312"/>
                <w:kern w:val="0"/>
                <w:sz w:val="20"/>
                <w:szCs w:val="20"/>
              </w:rPr>
              <w:t>（含），计</w:t>
            </w:r>
            <w:r>
              <w:rPr>
                <w:rFonts w:eastAsia="仿宋_GB2312"/>
                <w:kern w:val="0"/>
                <w:sz w:val="20"/>
                <w:szCs w:val="20"/>
              </w:rPr>
              <w:t>4</w:t>
            </w:r>
            <w:r>
              <w:rPr>
                <w:rFonts w:ascii="仿宋_GB2312" w:hAnsi="仿宋_GB2312" w:eastAsia="仿宋_GB2312"/>
                <w:kern w:val="0"/>
                <w:sz w:val="20"/>
                <w:szCs w:val="20"/>
              </w:rPr>
              <w:t>分；</w:t>
            </w:r>
            <w:r>
              <w:rPr>
                <w:rFonts w:eastAsia="仿宋_GB2312"/>
                <w:kern w:val="0"/>
                <w:sz w:val="20"/>
                <w:szCs w:val="20"/>
              </w:rPr>
              <w:t>10-20%</w:t>
            </w:r>
            <w:r>
              <w:rPr>
                <w:rFonts w:ascii="仿宋_GB2312" w:hAnsi="仿宋_GB2312" w:eastAsia="仿宋_GB2312"/>
                <w:kern w:val="0"/>
                <w:sz w:val="20"/>
                <w:szCs w:val="20"/>
              </w:rPr>
              <w:t>（含），计</w:t>
            </w:r>
            <w:r>
              <w:rPr>
                <w:rFonts w:eastAsia="仿宋_GB2312"/>
                <w:kern w:val="0"/>
                <w:sz w:val="20"/>
                <w:szCs w:val="20"/>
              </w:rPr>
              <w:t>3</w:t>
            </w:r>
            <w:r>
              <w:rPr>
                <w:rFonts w:ascii="仿宋_GB2312" w:hAnsi="仿宋_GB2312" w:eastAsia="仿宋_GB2312"/>
                <w:kern w:val="0"/>
                <w:sz w:val="20"/>
                <w:szCs w:val="20"/>
              </w:rPr>
              <w:t>分；</w:t>
            </w:r>
            <w:r>
              <w:rPr>
                <w:rFonts w:eastAsia="仿宋_GB2312"/>
                <w:kern w:val="0"/>
                <w:sz w:val="20"/>
                <w:szCs w:val="20"/>
              </w:rPr>
              <w:t>20-30%</w:t>
            </w:r>
            <w:r>
              <w:rPr>
                <w:rFonts w:ascii="仿宋_GB2312" w:hAnsi="仿宋_GB2312" w:eastAsia="仿宋_GB2312"/>
                <w:kern w:val="0"/>
                <w:sz w:val="20"/>
                <w:szCs w:val="20"/>
              </w:rPr>
              <w:t>（含），计</w:t>
            </w:r>
            <w:r>
              <w:rPr>
                <w:rFonts w:eastAsia="仿宋_GB2312"/>
                <w:kern w:val="0"/>
                <w:sz w:val="20"/>
                <w:szCs w:val="20"/>
              </w:rPr>
              <w:t>2</w:t>
            </w:r>
            <w:r>
              <w:rPr>
                <w:rFonts w:ascii="仿宋_GB2312" w:hAnsi="仿宋_GB2312" w:eastAsia="仿宋_GB2312"/>
                <w:kern w:val="0"/>
                <w:sz w:val="20"/>
                <w:szCs w:val="20"/>
              </w:rPr>
              <w:t>分；大于</w:t>
            </w:r>
            <w:r>
              <w:rPr>
                <w:rFonts w:eastAsia="仿宋_GB2312"/>
                <w:kern w:val="0"/>
                <w:sz w:val="20"/>
                <w:szCs w:val="20"/>
              </w:rPr>
              <w:t>30%</w:t>
            </w:r>
            <w:r>
              <w:rPr>
                <w:rFonts w:ascii="仿宋_GB2312" w:hAnsi="仿宋_GB2312" w:eastAsia="仿宋_GB2312"/>
                <w:kern w:val="0"/>
                <w:sz w:val="20"/>
                <w:szCs w:val="20"/>
              </w:rPr>
              <w:t>不得分。</w:t>
            </w:r>
          </w:p>
        </w:tc>
        <w:tc>
          <w:tcPr>
            <w:tcW w:w="3402"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预算控制率=</w:t>
            </w:r>
            <w:r>
              <w:rPr>
                <w:rFonts w:ascii="仿宋_GB2312" w:hAnsi="仿宋_GB2312" w:eastAsia="仿宋_GB2312"/>
                <w:kern w:val="0"/>
                <w:sz w:val="20"/>
                <w:szCs w:val="20"/>
              </w:rPr>
              <w:t>（本年追加预算</w:t>
            </w:r>
            <w:r>
              <w:rPr>
                <w:rFonts w:eastAsia="仿宋_GB2312"/>
                <w:kern w:val="0"/>
                <w:sz w:val="20"/>
                <w:szCs w:val="20"/>
              </w:rPr>
              <w:t>/</w:t>
            </w:r>
            <w:r>
              <w:rPr>
                <w:rFonts w:ascii="仿宋_GB2312" w:hAnsi="仿宋_GB2312" w:eastAsia="仿宋_GB2312"/>
                <w:kern w:val="0"/>
                <w:sz w:val="20"/>
                <w:szCs w:val="20"/>
              </w:rPr>
              <w:t>年初预算）</w:t>
            </w:r>
            <w:r>
              <w:rPr>
                <w:rFonts w:eastAsia="仿宋_GB2312"/>
                <w:kern w:val="0"/>
                <w:sz w:val="20"/>
                <w:szCs w:val="20"/>
              </w:rPr>
              <w:t>×100</w:t>
            </w:r>
            <w:r>
              <w:rPr>
                <w:rFonts w:hint="eastAsia" w:eastAsia="仿宋_GB2312"/>
                <w:kern w:val="0"/>
                <w:sz w:val="20"/>
                <w:szCs w:val="20"/>
              </w:rPr>
              <w:t>202</w:t>
            </w:r>
            <w:r>
              <w:rPr>
                <w:rFonts w:eastAsia="仿宋_GB2312"/>
                <w:kern w:val="0"/>
                <w:sz w:val="20"/>
                <w:szCs w:val="20"/>
              </w:rPr>
              <w:t>%</w:t>
            </w:r>
            <w:r>
              <w:rPr>
                <w:rFonts w:ascii="仿宋_GB2312" w:hAnsi="仿宋_GB2312" w:eastAsia="仿宋_GB2312"/>
                <w:kern w:val="0"/>
                <w:sz w:val="20"/>
                <w:szCs w:val="20"/>
              </w:rPr>
              <w:t>。</w:t>
            </w:r>
          </w:p>
        </w:tc>
        <w:tc>
          <w:tcPr>
            <w:tcW w:w="522" w:type="dxa"/>
            <w:tcBorders>
              <w:top w:val="nil"/>
              <w:left w:val="nil"/>
              <w:bottom w:val="single" w:color="auto" w:sz="4" w:space="0"/>
              <w:right w:val="single" w:color="auto" w:sz="4" w:space="0"/>
            </w:tcBorders>
            <w:noWrap/>
            <w:vAlign w:val="center"/>
          </w:tcPr>
          <w:p>
            <w:pPr>
              <w:widowControl/>
              <w:jc w:val="center"/>
              <w:rPr>
                <w:kern w:val="0"/>
                <w:sz w:val="24"/>
              </w:rPr>
            </w:pPr>
            <w:r>
              <w:rPr>
                <w:kern w:val="0"/>
                <w:sz w:val="24"/>
              </w:rPr>
              <w:t>5</w:t>
            </w:r>
          </w:p>
        </w:tc>
      </w:tr>
      <w:tr>
        <w:tblPrEx>
          <w:tblCellMar>
            <w:top w:w="0" w:type="dxa"/>
            <w:left w:w="108" w:type="dxa"/>
            <w:bottom w:w="0" w:type="dxa"/>
            <w:right w:w="108" w:type="dxa"/>
          </w:tblCellMar>
        </w:tblPrEx>
        <w:trPr>
          <w:gridAfter w:val="1"/>
          <w:wAfter w:w="8" w:type="dxa"/>
          <w:trHeight w:val="1325" w:hRule="atLeast"/>
        </w:trPr>
        <w:tc>
          <w:tcPr>
            <w:tcW w:w="518" w:type="dxa"/>
            <w:vMerge w:val="continue"/>
            <w:tcBorders>
              <w:top w:val="nil"/>
              <w:left w:val="single" w:color="auto" w:sz="4" w:space="0"/>
              <w:bottom w:val="single" w:color="000000" w:sz="4" w:space="0"/>
              <w:right w:val="single" w:color="auto" w:sz="4" w:space="0"/>
            </w:tcBorders>
            <w:noWrap/>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新建楼堂馆所面积控制率</w:t>
            </w:r>
          </w:p>
        </w:tc>
        <w:tc>
          <w:tcPr>
            <w:tcW w:w="478" w:type="dxa"/>
            <w:tcBorders>
              <w:top w:val="nil"/>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分，扣完为止。没有楼堂馆所项目的部门按满分计算。</w:t>
            </w:r>
          </w:p>
        </w:tc>
        <w:tc>
          <w:tcPr>
            <w:tcW w:w="3402" w:type="dxa"/>
            <w:tcBorders>
              <w:top w:val="nil"/>
              <w:left w:val="nil"/>
              <w:bottom w:val="single" w:color="auto" w:sz="4" w:space="0"/>
              <w:right w:val="single" w:color="auto" w:sz="4" w:space="0"/>
            </w:tcBorders>
            <w:noWrap/>
            <w:vAlign w:val="center"/>
          </w:tcPr>
          <w:p>
            <w:pPr>
              <w:widowControl/>
              <w:jc w:val="left"/>
              <w:rPr>
                <w:rFonts w:ascii="仿宋_GB2312" w:hAnsi="仿宋_GB2312" w:eastAsia="仿宋_GB2312"/>
                <w:kern w:val="0"/>
                <w:sz w:val="20"/>
                <w:szCs w:val="20"/>
              </w:rPr>
            </w:pPr>
            <w:r>
              <w:rPr>
                <w:rFonts w:eastAsia="仿宋_GB2312"/>
                <w:kern w:val="0"/>
                <w:sz w:val="20"/>
                <w:szCs w:val="20"/>
              </w:rPr>
              <w:t>楼堂馆所面积控制率=</w:t>
            </w:r>
            <w:r>
              <w:rPr>
                <w:rFonts w:ascii="仿宋_GB2312" w:hAnsi="仿宋_GB2312" w:eastAsia="仿宋_GB2312"/>
                <w:kern w:val="0"/>
                <w:sz w:val="20"/>
                <w:szCs w:val="20"/>
              </w:rPr>
              <w:t>实际建设面积</w:t>
            </w:r>
            <w:r>
              <w:rPr>
                <w:rFonts w:eastAsia="仿宋_GB2312"/>
                <w:kern w:val="0"/>
                <w:sz w:val="20"/>
                <w:szCs w:val="20"/>
              </w:rPr>
              <w:t>/</w:t>
            </w:r>
            <w:r>
              <w:rPr>
                <w:rFonts w:ascii="仿宋_GB2312" w:hAnsi="仿宋_GB2312" w:eastAsia="仿宋_GB2312"/>
                <w:kern w:val="0"/>
                <w:sz w:val="20"/>
                <w:szCs w:val="20"/>
              </w:rPr>
              <w:t>批准建设面积</w:t>
            </w:r>
            <w:r>
              <w:rPr>
                <w:rFonts w:eastAsia="仿宋_GB2312"/>
                <w:kern w:val="0"/>
                <w:sz w:val="20"/>
                <w:szCs w:val="20"/>
              </w:rPr>
              <w:t xml:space="preserve">×100% </w:t>
            </w:r>
            <w:r>
              <w:rPr>
                <w:rFonts w:ascii="仿宋_GB2312" w:hAnsi="仿宋_GB2312" w:eastAsia="仿宋_GB2312"/>
                <w:kern w:val="0"/>
                <w:sz w:val="20"/>
                <w:szCs w:val="20"/>
              </w:rPr>
              <w:t>。</w:t>
            </w:r>
          </w:p>
          <w:p>
            <w:pPr>
              <w:widowControl/>
              <w:jc w:val="left"/>
              <w:rPr>
                <w:rFonts w:eastAsia="仿宋_GB2312"/>
                <w:kern w:val="0"/>
                <w:sz w:val="20"/>
                <w:szCs w:val="20"/>
              </w:rPr>
            </w:pPr>
            <w:r>
              <w:rPr>
                <w:rFonts w:eastAsia="仿宋_GB2312"/>
                <w:kern w:val="0"/>
                <w:sz w:val="20"/>
                <w:szCs w:val="20"/>
              </w:rPr>
              <w:t>该指标以20</w:t>
            </w:r>
            <w:r>
              <w:rPr>
                <w:rFonts w:hint="eastAsia" w:eastAsia="仿宋_GB2312"/>
                <w:kern w:val="0"/>
                <w:sz w:val="20"/>
                <w:szCs w:val="20"/>
              </w:rPr>
              <w:t>22</w:t>
            </w:r>
            <w:r>
              <w:rPr>
                <w:rFonts w:eastAsia="仿宋_GB2312"/>
                <w:kern w:val="0"/>
                <w:sz w:val="20"/>
                <w:szCs w:val="20"/>
              </w:rPr>
              <w:t>年完工的新建楼堂馆所为评价内容。</w:t>
            </w:r>
          </w:p>
        </w:tc>
        <w:tc>
          <w:tcPr>
            <w:tcW w:w="522" w:type="dxa"/>
            <w:tcBorders>
              <w:top w:val="nil"/>
              <w:left w:val="nil"/>
              <w:bottom w:val="single" w:color="auto" w:sz="4" w:space="0"/>
              <w:right w:val="single" w:color="auto" w:sz="4" w:space="0"/>
            </w:tcBorders>
            <w:noWrap/>
            <w:vAlign w:val="center"/>
          </w:tcPr>
          <w:p>
            <w:pPr>
              <w:widowControl/>
              <w:jc w:val="center"/>
              <w:rPr>
                <w:kern w:val="0"/>
                <w:sz w:val="24"/>
              </w:rPr>
            </w:pPr>
            <w:r>
              <w:rPr>
                <w:kern w:val="0"/>
                <w:sz w:val="24"/>
              </w:rPr>
              <w:t>5</w:t>
            </w:r>
          </w:p>
        </w:tc>
      </w:tr>
      <w:tr>
        <w:tblPrEx>
          <w:tblCellMar>
            <w:top w:w="0" w:type="dxa"/>
            <w:left w:w="108" w:type="dxa"/>
            <w:bottom w:w="0" w:type="dxa"/>
            <w:right w:w="108" w:type="dxa"/>
          </w:tblCellMar>
        </w:tblPrEx>
        <w:trPr>
          <w:gridAfter w:val="1"/>
          <w:wAfter w:w="8" w:type="dxa"/>
          <w:trHeight w:val="1543" w:hRule="atLeast"/>
        </w:trPr>
        <w:tc>
          <w:tcPr>
            <w:tcW w:w="518" w:type="dxa"/>
            <w:vMerge w:val="continue"/>
            <w:tcBorders>
              <w:top w:val="nil"/>
              <w:left w:val="single" w:color="auto" w:sz="4" w:space="0"/>
              <w:bottom w:val="single" w:color="000000" w:sz="4" w:space="0"/>
              <w:right w:val="single" w:color="auto" w:sz="4" w:space="0"/>
            </w:tcBorders>
            <w:noWrap/>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新建楼堂馆所投资概算控制率</w:t>
            </w:r>
          </w:p>
        </w:tc>
        <w:tc>
          <w:tcPr>
            <w:tcW w:w="478" w:type="dxa"/>
            <w:tcBorders>
              <w:top w:val="nil"/>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ign w:val="center"/>
          </w:tcPr>
          <w:p>
            <w:pPr>
              <w:widowControl/>
              <w:jc w:val="left"/>
              <w:rPr>
                <w:rFonts w:ascii="仿宋_GB2312" w:hAnsi="仿宋_GB2312" w:eastAsia="仿宋_GB2312"/>
                <w:kern w:val="0"/>
                <w:sz w:val="20"/>
                <w:szCs w:val="20"/>
              </w:rPr>
            </w:pPr>
            <w:r>
              <w:rPr>
                <w:rFonts w:eastAsia="仿宋_GB2312"/>
                <w:kern w:val="0"/>
                <w:sz w:val="20"/>
                <w:szCs w:val="20"/>
              </w:rPr>
              <w:t>楼堂馆所投资预算控制率=</w:t>
            </w:r>
            <w:r>
              <w:rPr>
                <w:rFonts w:ascii="仿宋_GB2312" w:hAnsi="仿宋_GB2312" w:eastAsia="仿宋_GB2312"/>
                <w:kern w:val="0"/>
                <w:sz w:val="20"/>
                <w:szCs w:val="20"/>
              </w:rPr>
              <w:t>实际投资金额</w:t>
            </w:r>
            <w:r>
              <w:rPr>
                <w:rFonts w:eastAsia="仿宋_GB2312"/>
                <w:kern w:val="0"/>
                <w:sz w:val="20"/>
                <w:szCs w:val="20"/>
              </w:rPr>
              <w:t>/</w:t>
            </w:r>
            <w:r>
              <w:rPr>
                <w:rFonts w:ascii="仿宋_GB2312" w:hAnsi="仿宋_GB2312" w:eastAsia="仿宋_GB2312"/>
                <w:kern w:val="0"/>
                <w:sz w:val="20"/>
                <w:szCs w:val="20"/>
              </w:rPr>
              <w:t>批准投资金额</w:t>
            </w:r>
            <w:r>
              <w:rPr>
                <w:rFonts w:eastAsia="仿宋_GB2312"/>
                <w:kern w:val="0"/>
                <w:sz w:val="20"/>
                <w:szCs w:val="20"/>
              </w:rPr>
              <w:t xml:space="preserve">×100% </w:t>
            </w:r>
            <w:r>
              <w:rPr>
                <w:rFonts w:ascii="仿宋_GB2312" w:hAnsi="仿宋_GB2312" w:eastAsia="仿宋_GB2312"/>
                <w:kern w:val="0"/>
                <w:sz w:val="20"/>
                <w:szCs w:val="20"/>
              </w:rPr>
              <w:t>。</w:t>
            </w:r>
          </w:p>
          <w:p>
            <w:pPr>
              <w:widowControl/>
              <w:jc w:val="left"/>
              <w:rPr>
                <w:rFonts w:eastAsia="仿宋_GB2312"/>
                <w:kern w:val="0"/>
                <w:sz w:val="20"/>
                <w:szCs w:val="20"/>
              </w:rPr>
            </w:pPr>
            <w:r>
              <w:rPr>
                <w:rFonts w:eastAsia="仿宋_GB2312"/>
                <w:kern w:val="0"/>
                <w:sz w:val="20"/>
                <w:szCs w:val="20"/>
              </w:rPr>
              <w:t>该指标以20</w:t>
            </w:r>
            <w:r>
              <w:rPr>
                <w:rFonts w:hint="eastAsia" w:eastAsia="仿宋_GB2312"/>
                <w:kern w:val="0"/>
                <w:sz w:val="20"/>
                <w:szCs w:val="20"/>
              </w:rPr>
              <w:t>22</w:t>
            </w:r>
            <w:r>
              <w:rPr>
                <w:rFonts w:eastAsia="仿宋_GB2312"/>
                <w:kern w:val="0"/>
                <w:sz w:val="20"/>
                <w:szCs w:val="20"/>
              </w:rPr>
              <w:t>年完工的新建楼堂馆所为评价内容。</w:t>
            </w:r>
          </w:p>
        </w:tc>
        <w:tc>
          <w:tcPr>
            <w:tcW w:w="522" w:type="dxa"/>
            <w:tcBorders>
              <w:top w:val="nil"/>
              <w:left w:val="nil"/>
              <w:bottom w:val="single" w:color="auto" w:sz="4" w:space="0"/>
              <w:right w:val="single" w:color="auto" w:sz="4" w:space="0"/>
            </w:tcBorders>
            <w:noWrap/>
            <w:vAlign w:val="center"/>
          </w:tcPr>
          <w:p>
            <w:pPr>
              <w:widowControl/>
              <w:jc w:val="center"/>
              <w:rPr>
                <w:kern w:val="0"/>
                <w:sz w:val="24"/>
              </w:rPr>
            </w:pPr>
            <w:r>
              <w:rPr>
                <w:kern w:val="0"/>
                <w:sz w:val="24"/>
              </w:rPr>
              <w:t>5</w:t>
            </w:r>
          </w:p>
        </w:tc>
      </w:tr>
      <w:tr>
        <w:tblPrEx>
          <w:tblCellMar>
            <w:top w:w="0" w:type="dxa"/>
            <w:left w:w="108" w:type="dxa"/>
            <w:bottom w:w="0" w:type="dxa"/>
            <w:right w:w="108" w:type="dxa"/>
          </w:tblCellMar>
        </w:tblPrEx>
        <w:trPr>
          <w:gridAfter w:val="1"/>
          <w:wAfter w:w="8" w:type="dxa"/>
          <w:trHeight w:val="1562" w:hRule="atLeast"/>
        </w:trPr>
        <w:tc>
          <w:tcPr>
            <w:tcW w:w="518" w:type="dxa"/>
            <w:vMerge w:val="continue"/>
            <w:tcBorders>
              <w:top w:val="nil"/>
              <w:left w:val="single" w:color="auto" w:sz="4" w:space="0"/>
              <w:bottom w:val="single" w:color="000000" w:sz="4" w:space="0"/>
              <w:right w:val="single" w:color="auto" w:sz="4" w:space="0"/>
            </w:tcBorders>
            <w:noWrap/>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677" w:type="dxa"/>
            <w:gridSpan w:val="2"/>
            <w:vMerge w:val="restart"/>
            <w:tcBorders>
              <w:top w:val="nil"/>
              <w:left w:val="nil"/>
              <w:bottom w:val="single" w:color="000000"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预算管理</w:t>
            </w:r>
          </w:p>
        </w:tc>
        <w:tc>
          <w:tcPr>
            <w:tcW w:w="416" w:type="dxa"/>
            <w:vMerge w:val="restart"/>
            <w:tcBorders>
              <w:top w:val="nil"/>
              <w:left w:val="nil"/>
              <w:bottom w:val="single" w:color="000000"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40</w:t>
            </w:r>
          </w:p>
        </w:tc>
        <w:tc>
          <w:tcPr>
            <w:tcW w:w="1194"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公用经费控制率</w:t>
            </w:r>
          </w:p>
        </w:tc>
        <w:tc>
          <w:tcPr>
            <w:tcW w:w="478" w:type="dxa"/>
            <w:tcBorders>
              <w:top w:val="nil"/>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8</w:t>
            </w:r>
          </w:p>
        </w:tc>
        <w:tc>
          <w:tcPr>
            <w:tcW w:w="2977"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1%</w:t>
            </w:r>
            <w:r>
              <w:rPr>
                <w:rFonts w:ascii="仿宋_GB2312" w:hAnsi="仿宋_GB2312" w:eastAsia="仿宋_GB2312"/>
                <w:kern w:val="0"/>
                <w:sz w:val="20"/>
                <w:szCs w:val="20"/>
              </w:rPr>
              <w:t>扣</w:t>
            </w:r>
            <w:r>
              <w:rPr>
                <w:rFonts w:eastAsia="仿宋_GB2312"/>
                <w:kern w:val="0"/>
                <w:sz w:val="20"/>
                <w:szCs w:val="20"/>
              </w:rPr>
              <w:t>1</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ign w:val="center"/>
          </w:tcPr>
          <w:p>
            <w:pPr>
              <w:widowControl/>
              <w:jc w:val="left"/>
              <w:rPr>
                <w:rFonts w:ascii="仿宋_GB2312" w:hAnsi="仿宋_GB2312" w:eastAsia="仿宋_GB2312"/>
                <w:kern w:val="0"/>
                <w:sz w:val="20"/>
                <w:szCs w:val="20"/>
              </w:rPr>
            </w:pPr>
            <w:r>
              <w:rPr>
                <w:rFonts w:eastAsia="仿宋_GB2312"/>
                <w:kern w:val="0"/>
                <w:sz w:val="20"/>
                <w:szCs w:val="20"/>
              </w:rPr>
              <w:t>公用经费控制率=</w:t>
            </w:r>
            <w:r>
              <w:rPr>
                <w:rFonts w:ascii="仿宋_GB2312" w:hAnsi="仿宋_GB2312" w:eastAsia="仿宋_GB2312"/>
                <w:kern w:val="0"/>
                <w:sz w:val="20"/>
                <w:szCs w:val="20"/>
              </w:rPr>
              <w:t>（实际支出公用经费总额</w:t>
            </w:r>
            <w:r>
              <w:rPr>
                <w:rFonts w:eastAsia="仿宋_GB2312"/>
                <w:kern w:val="0"/>
                <w:sz w:val="20"/>
                <w:szCs w:val="20"/>
              </w:rPr>
              <w:t>/</w:t>
            </w:r>
            <w:r>
              <w:rPr>
                <w:rFonts w:ascii="仿宋_GB2312" w:hAnsi="仿宋_GB2312" w:eastAsia="仿宋_GB2312"/>
                <w:kern w:val="0"/>
                <w:sz w:val="20"/>
                <w:szCs w:val="20"/>
              </w:rPr>
              <w:t>预算安排公用经费总额）</w:t>
            </w:r>
            <w:r>
              <w:rPr>
                <w:rFonts w:eastAsia="仿宋_GB2312"/>
                <w:kern w:val="0"/>
                <w:sz w:val="20"/>
                <w:szCs w:val="20"/>
              </w:rPr>
              <w:t>×100%</w:t>
            </w:r>
            <w:r>
              <w:rPr>
                <w:rFonts w:ascii="仿宋_GB2312" w:hAnsi="仿宋_GB2312" w:eastAsia="仿宋_GB2312"/>
                <w:kern w:val="0"/>
                <w:sz w:val="20"/>
                <w:szCs w:val="20"/>
              </w:rPr>
              <w:t>。</w:t>
            </w:r>
          </w:p>
          <w:p>
            <w:pPr>
              <w:widowControl/>
              <w:jc w:val="left"/>
              <w:rPr>
                <w:rFonts w:eastAsia="仿宋_GB2312"/>
                <w:kern w:val="0"/>
                <w:sz w:val="20"/>
                <w:szCs w:val="20"/>
              </w:rPr>
            </w:pPr>
            <w:r>
              <w:rPr>
                <w:rFonts w:eastAsia="仿宋_GB2312"/>
                <w:kern w:val="0"/>
                <w:sz w:val="20"/>
                <w:szCs w:val="20"/>
              </w:rPr>
              <w:t>公用经费支出是指部门基本支出中的一般商品和服务支出。</w:t>
            </w:r>
          </w:p>
        </w:tc>
        <w:tc>
          <w:tcPr>
            <w:tcW w:w="522" w:type="dxa"/>
            <w:tcBorders>
              <w:top w:val="nil"/>
              <w:left w:val="nil"/>
              <w:bottom w:val="single" w:color="auto" w:sz="4" w:space="0"/>
              <w:right w:val="single" w:color="auto" w:sz="4" w:space="0"/>
            </w:tcBorders>
            <w:noWrap/>
            <w:vAlign w:val="center"/>
          </w:tcPr>
          <w:p>
            <w:pPr>
              <w:widowControl/>
              <w:jc w:val="center"/>
              <w:rPr>
                <w:kern w:val="0"/>
                <w:sz w:val="24"/>
              </w:rPr>
            </w:pPr>
            <w:r>
              <w:rPr>
                <w:kern w:val="0"/>
                <w:sz w:val="24"/>
              </w:rPr>
              <w:t>8</w:t>
            </w:r>
          </w:p>
        </w:tc>
      </w:tr>
      <w:tr>
        <w:tblPrEx>
          <w:tblCellMar>
            <w:top w:w="0" w:type="dxa"/>
            <w:left w:w="108" w:type="dxa"/>
            <w:bottom w:w="0" w:type="dxa"/>
            <w:right w:w="108" w:type="dxa"/>
          </w:tblCellMar>
        </w:tblPrEx>
        <w:trPr>
          <w:gridAfter w:val="1"/>
          <w:wAfter w:w="8" w:type="dxa"/>
          <w:trHeight w:val="1073" w:hRule="atLeast"/>
        </w:trPr>
        <w:tc>
          <w:tcPr>
            <w:tcW w:w="518" w:type="dxa"/>
            <w:vMerge w:val="continue"/>
            <w:tcBorders>
              <w:top w:val="nil"/>
              <w:left w:val="single" w:color="auto" w:sz="4" w:space="0"/>
              <w:bottom w:val="single" w:color="000000" w:sz="4" w:space="0"/>
              <w:right w:val="single" w:color="auto" w:sz="4" w:space="0"/>
            </w:tcBorders>
            <w:noWrap/>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hint="eastAsia" w:eastAsia="仿宋_GB2312"/>
                <w:kern w:val="0"/>
                <w:sz w:val="20"/>
                <w:szCs w:val="20"/>
                <w:lang w:eastAsia="zh-CN"/>
              </w:rPr>
              <w:t>“三公"经费</w:t>
            </w:r>
            <w:r>
              <w:rPr>
                <w:rFonts w:ascii="仿宋_GB2312" w:hAnsi="仿宋_GB2312" w:eastAsia="仿宋_GB2312"/>
                <w:kern w:val="0"/>
                <w:sz w:val="20"/>
                <w:szCs w:val="20"/>
              </w:rPr>
              <w:t>控制率</w:t>
            </w:r>
          </w:p>
        </w:tc>
        <w:tc>
          <w:tcPr>
            <w:tcW w:w="478" w:type="dxa"/>
            <w:tcBorders>
              <w:top w:val="nil"/>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7</w:t>
            </w:r>
          </w:p>
        </w:tc>
        <w:tc>
          <w:tcPr>
            <w:tcW w:w="2977"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1%</w:t>
            </w:r>
            <w:r>
              <w:rPr>
                <w:rFonts w:ascii="仿宋_GB2312" w:hAnsi="仿宋_GB2312" w:eastAsia="仿宋_GB2312"/>
                <w:kern w:val="0"/>
                <w:sz w:val="20"/>
                <w:szCs w:val="20"/>
              </w:rPr>
              <w:t>扣</w:t>
            </w:r>
            <w:r>
              <w:rPr>
                <w:rFonts w:eastAsia="仿宋_GB2312"/>
                <w:kern w:val="0"/>
                <w:sz w:val="20"/>
                <w:szCs w:val="20"/>
              </w:rPr>
              <w:t>1</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hint="eastAsia" w:eastAsia="仿宋_GB2312"/>
                <w:kern w:val="0"/>
                <w:sz w:val="20"/>
                <w:szCs w:val="20"/>
                <w:lang w:eastAsia="zh-CN"/>
              </w:rPr>
              <w:t>“三公"经费</w:t>
            </w:r>
            <w:r>
              <w:rPr>
                <w:rFonts w:ascii="仿宋_GB2312" w:hAnsi="仿宋_GB2312" w:eastAsia="仿宋_GB2312"/>
                <w:kern w:val="0"/>
                <w:sz w:val="20"/>
                <w:szCs w:val="20"/>
              </w:rPr>
              <w:t>控制率</w:t>
            </w:r>
            <w:r>
              <w:rPr>
                <w:rFonts w:eastAsia="仿宋_GB2312"/>
                <w:kern w:val="0"/>
                <w:sz w:val="20"/>
                <w:szCs w:val="20"/>
              </w:rPr>
              <w:t>-</w:t>
            </w:r>
            <w:r>
              <w:rPr>
                <w:rFonts w:ascii="仿宋_GB2312" w:hAnsi="仿宋_GB2312" w:eastAsia="仿宋_GB2312"/>
                <w:kern w:val="0"/>
                <w:sz w:val="20"/>
                <w:szCs w:val="20"/>
              </w:rPr>
              <w:t>（</w:t>
            </w:r>
            <w:r>
              <w:rPr>
                <w:rFonts w:hint="eastAsia" w:eastAsia="仿宋_GB2312"/>
                <w:kern w:val="0"/>
                <w:sz w:val="20"/>
                <w:szCs w:val="20"/>
                <w:lang w:eastAsia="zh-CN"/>
              </w:rPr>
              <w:t>“三公"经费</w:t>
            </w:r>
            <w:r>
              <w:rPr>
                <w:rFonts w:ascii="仿宋_GB2312" w:hAnsi="仿宋_GB2312" w:eastAsia="仿宋_GB2312"/>
                <w:kern w:val="0"/>
                <w:sz w:val="20"/>
                <w:szCs w:val="20"/>
              </w:rPr>
              <w:t>实际支出数</w:t>
            </w:r>
            <w:r>
              <w:rPr>
                <w:rFonts w:eastAsia="仿宋_GB2312"/>
                <w:kern w:val="0"/>
                <w:sz w:val="20"/>
                <w:szCs w:val="20"/>
              </w:rPr>
              <w:t>/</w:t>
            </w:r>
            <w:r>
              <w:rPr>
                <w:rFonts w:hint="eastAsia" w:eastAsia="仿宋_GB2312"/>
                <w:kern w:val="0"/>
                <w:sz w:val="20"/>
                <w:szCs w:val="20"/>
                <w:lang w:eastAsia="zh-CN"/>
              </w:rPr>
              <w:t>“三公"经费</w:t>
            </w:r>
            <w:r>
              <w:rPr>
                <w:rFonts w:ascii="仿宋_GB2312" w:hAnsi="仿宋_GB2312" w:eastAsia="仿宋_GB2312"/>
                <w:kern w:val="0"/>
                <w:sz w:val="20"/>
                <w:szCs w:val="20"/>
              </w:rPr>
              <w:t>预算安排数）</w:t>
            </w:r>
            <w:r>
              <w:rPr>
                <w:rFonts w:eastAsia="仿宋_GB2312"/>
                <w:kern w:val="0"/>
                <w:sz w:val="20"/>
                <w:szCs w:val="20"/>
              </w:rPr>
              <w:t>×100%</w:t>
            </w:r>
            <w:r>
              <w:rPr>
                <w:rFonts w:ascii="仿宋_GB2312" w:hAnsi="仿宋_GB2312" w:eastAsia="仿宋_GB2312"/>
                <w:kern w:val="0"/>
                <w:sz w:val="20"/>
                <w:szCs w:val="20"/>
              </w:rPr>
              <w:t>。</w:t>
            </w:r>
          </w:p>
        </w:tc>
        <w:tc>
          <w:tcPr>
            <w:tcW w:w="522" w:type="dxa"/>
            <w:tcBorders>
              <w:top w:val="nil"/>
              <w:left w:val="nil"/>
              <w:bottom w:val="single" w:color="auto" w:sz="4" w:space="0"/>
              <w:right w:val="single" w:color="auto" w:sz="4" w:space="0"/>
            </w:tcBorders>
            <w:noWrap/>
            <w:vAlign w:val="center"/>
          </w:tcPr>
          <w:p>
            <w:pPr>
              <w:widowControl/>
              <w:jc w:val="center"/>
              <w:rPr>
                <w:kern w:val="0"/>
                <w:sz w:val="24"/>
              </w:rPr>
            </w:pPr>
            <w:r>
              <w:rPr>
                <w:kern w:val="0"/>
                <w:sz w:val="24"/>
              </w:rPr>
              <w:t>7</w:t>
            </w:r>
          </w:p>
        </w:tc>
      </w:tr>
      <w:tr>
        <w:tblPrEx>
          <w:tblCellMar>
            <w:top w:w="0" w:type="dxa"/>
            <w:left w:w="108" w:type="dxa"/>
            <w:bottom w:w="0" w:type="dxa"/>
            <w:right w:w="108" w:type="dxa"/>
          </w:tblCellMar>
        </w:tblPrEx>
        <w:trPr>
          <w:gridAfter w:val="1"/>
          <w:wAfter w:w="8" w:type="dxa"/>
          <w:trHeight w:val="918" w:hRule="atLeast"/>
        </w:trPr>
        <w:tc>
          <w:tcPr>
            <w:tcW w:w="518" w:type="dxa"/>
            <w:vMerge w:val="continue"/>
            <w:tcBorders>
              <w:top w:val="nil"/>
              <w:left w:val="single" w:color="auto" w:sz="4" w:space="0"/>
              <w:bottom w:val="single" w:color="000000" w:sz="4" w:space="0"/>
              <w:right w:val="single" w:color="auto" w:sz="4" w:space="0"/>
            </w:tcBorders>
            <w:noWrap/>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政府采购执行率</w:t>
            </w:r>
          </w:p>
        </w:tc>
        <w:tc>
          <w:tcPr>
            <w:tcW w:w="478" w:type="dxa"/>
            <w:tcBorders>
              <w:top w:val="nil"/>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6</w:t>
            </w:r>
          </w:p>
        </w:tc>
        <w:tc>
          <w:tcPr>
            <w:tcW w:w="2977"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计满分，每超过（降低）</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政府采购执行率=</w:t>
            </w:r>
            <w:r>
              <w:rPr>
                <w:rFonts w:ascii="仿宋_GB2312" w:hAnsi="仿宋_GB2312" w:eastAsia="仿宋_GB2312"/>
                <w:kern w:val="0"/>
                <w:sz w:val="20"/>
                <w:szCs w:val="20"/>
              </w:rPr>
              <w:t>（实际政府采购金额</w:t>
            </w:r>
            <w:r>
              <w:rPr>
                <w:rFonts w:eastAsia="仿宋_GB2312"/>
                <w:kern w:val="0"/>
                <w:sz w:val="20"/>
                <w:szCs w:val="20"/>
              </w:rPr>
              <w:t>/</w:t>
            </w:r>
            <w:r>
              <w:rPr>
                <w:rFonts w:ascii="仿宋_GB2312" w:hAnsi="仿宋_GB2312" w:eastAsia="仿宋_GB2312"/>
                <w:kern w:val="0"/>
                <w:sz w:val="20"/>
                <w:szCs w:val="20"/>
              </w:rPr>
              <w:t>政府采购预算数）</w:t>
            </w:r>
            <w:r>
              <w:rPr>
                <w:rFonts w:eastAsia="仿宋_GB2312"/>
                <w:kern w:val="0"/>
                <w:sz w:val="20"/>
                <w:szCs w:val="20"/>
              </w:rPr>
              <w:t>×100%</w:t>
            </w:r>
          </w:p>
        </w:tc>
        <w:tc>
          <w:tcPr>
            <w:tcW w:w="522" w:type="dxa"/>
            <w:tcBorders>
              <w:top w:val="nil"/>
              <w:left w:val="nil"/>
              <w:bottom w:val="single" w:color="auto" w:sz="4" w:space="0"/>
              <w:right w:val="single" w:color="auto" w:sz="4" w:space="0"/>
            </w:tcBorders>
            <w:noWrap/>
            <w:vAlign w:val="center"/>
          </w:tcPr>
          <w:p>
            <w:pPr>
              <w:widowControl/>
              <w:jc w:val="center"/>
              <w:rPr>
                <w:kern w:val="0"/>
                <w:sz w:val="24"/>
              </w:rPr>
            </w:pPr>
            <w:r>
              <w:rPr>
                <w:rFonts w:hint="eastAsia"/>
                <w:kern w:val="0"/>
                <w:sz w:val="24"/>
              </w:rPr>
              <w:t>6</w:t>
            </w:r>
          </w:p>
        </w:tc>
      </w:tr>
      <w:tr>
        <w:tblPrEx>
          <w:tblCellMar>
            <w:top w:w="0" w:type="dxa"/>
            <w:left w:w="108" w:type="dxa"/>
            <w:bottom w:w="0" w:type="dxa"/>
            <w:right w:w="108" w:type="dxa"/>
          </w:tblCellMar>
        </w:tblPrEx>
        <w:trPr>
          <w:gridAfter w:val="1"/>
          <w:wAfter w:w="8" w:type="dxa"/>
        </w:trPr>
        <w:tc>
          <w:tcPr>
            <w:tcW w:w="518" w:type="dxa"/>
            <w:vMerge w:val="restart"/>
            <w:tcBorders>
              <w:top w:val="nil"/>
              <w:left w:val="single" w:color="auto" w:sz="4" w:space="0"/>
              <w:bottom w:val="single" w:color="000000" w:sz="4" w:space="0"/>
              <w:right w:val="single" w:color="auto" w:sz="4" w:space="0"/>
            </w:tcBorders>
            <w:noWrap/>
            <w:vAlign w:val="center"/>
          </w:tcPr>
          <w:p>
            <w:pPr>
              <w:jc w:val="left"/>
              <w:rPr>
                <w:rFonts w:eastAsia="仿宋_GB2312"/>
                <w:kern w:val="0"/>
                <w:sz w:val="20"/>
                <w:szCs w:val="20"/>
              </w:rPr>
            </w:pPr>
            <w:r>
              <w:rPr>
                <w:rFonts w:eastAsia="仿宋_GB2312"/>
                <w:kern w:val="0"/>
                <w:sz w:val="20"/>
                <w:szCs w:val="20"/>
              </w:rPr>
              <w:t>过                                                                                                                                       程</w:t>
            </w:r>
          </w:p>
        </w:tc>
        <w:tc>
          <w:tcPr>
            <w:tcW w:w="416" w:type="dxa"/>
            <w:vMerge w:val="restart"/>
            <w:tcBorders>
              <w:top w:val="nil"/>
              <w:left w:val="nil"/>
              <w:bottom w:val="single" w:color="000000" w:sz="4" w:space="0"/>
              <w:right w:val="single" w:color="auto" w:sz="4" w:space="0"/>
            </w:tcBorders>
            <w:noWrap/>
            <w:vAlign w:val="center"/>
          </w:tcPr>
          <w:p>
            <w:pPr>
              <w:jc w:val="left"/>
              <w:rPr>
                <w:rFonts w:eastAsia="仿宋_GB2312"/>
                <w:kern w:val="0"/>
                <w:sz w:val="20"/>
                <w:szCs w:val="20"/>
              </w:rPr>
            </w:pPr>
          </w:p>
        </w:tc>
        <w:tc>
          <w:tcPr>
            <w:tcW w:w="677" w:type="dxa"/>
            <w:gridSpan w:val="2"/>
            <w:vMerge w:val="restart"/>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预算管理</w:t>
            </w:r>
          </w:p>
        </w:tc>
        <w:tc>
          <w:tcPr>
            <w:tcW w:w="416" w:type="dxa"/>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管理制度健全性</w:t>
            </w:r>
          </w:p>
        </w:tc>
        <w:tc>
          <w:tcPr>
            <w:tcW w:w="478" w:type="dxa"/>
            <w:tcBorders>
              <w:top w:val="nil"/>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8</w:t>
            </w:r>
          </w:p>
        </w:tc>
        <w:tc>
          <w:tcPr>
            <w:tcW w:w="6379" w:type="dxa"/>
            <w:gridSpan w:val="2"/>
            <w:tcBorders>
              <w:top w:val="nil"/>
              <w:left w:val="nil"/>
              <w:bottom w:val="single" w:color="auto" w:sz="4" w:space="0"/>
              <w:right w:val="single" w:color="auto" w:sz="4" w:space="0"/>
            </w:tcBorders>
            <w:noWrap/>
            <w:vAlign w:val="center"/>
          </w:tcPr>
          <w:p>
            <w:pPr>
              <w:widowControl/>
              <w:jc w:val="left"/>
              <w:rPr>
                <w:rFonts w:ascii="仿宋_GB2312" w:hAnsi="仿宋_GB2312" w:eastAsia="仿宋_GB2312"/>
                <w:kern w:val="0"/>
                <w:sz w:val="20"/>
                <w:szCs w:val="20"/>
              </w:rPr>
            </w:pPr>
            <w:r>
              <w:rPr>
                <w:rFonts w:hint="eastAsia" w:ascii="宋体" w:hAnsi="宋体"/>
                <w:kern w:val="0"/>
                <w:sz w:val="20"/>
                <w:szCs w:val="20"/>
              </w:rPr>
              <w:t>①</w:t>
            </w:r>
            <w:r>
              <w:rPr>
                <w:rFonts w:ascii="仿宋_GB2312" w:hAnsi="仿宋_GB2312" w:eastAsia="仿宋_GB2312"/>
                <w:kern w:val="0"/>
                <w:sz w:val="20"/>
                <w:szCs w:val="20"/>
              </w:rPr>
              <w:t>有内部财务管理制度、会计核算制度等管理制度，</w:t>
            </w:r>
            <w:r>
              <w:rPr>
                <w:rFonts w:eastAsia="仿宋_GB2312"/>
                <w:kern w:val="0"/>
                <w:sz w:val="20"/>
                <w:szCs w:val="20"/>
              </w:rPr>
              <w:t>2</w:t>
            </w:r>
            <w:r>
              <w:rPr>
                <w:rFonts w:ascii="仿宋_GB2312" w:hAnsi="仿宋_GB2312" w:eastAsia="仿宋_GB2312"/>
                <w:kern w:val="0"/>
                <w:sz w:val="20"/>
                <w:szCs w:val="20"/>
              </w:rPr>
              <w:t>分；</w:t>
            </w:r>
          </w:p>
          <w:p>
            <w:pPr>
              <w:widowControl/>
              <w:jc w:val="left"/>
              <w:rPr>
                <w:rFonts w:ascii="仿宋_GB2312" w:hAnsi="仿宋_GB2312" w:eastAsia="仿宋_GB2312"/>
                <w:kern w:val="0"/>
                <w:sz w:val="20"/>
                <w:szCs w:val="20"/>
              </w:rPr>
            </w:pPr>
            <w:r>
              <w:rPr>
                <w:rFonts w:hint="eastAsia" w:ascii="宋体" w:hAnsi="宋体"/>
                <w:kern w:val="0"/>
                <w:sz w:val="20"/>
                <w:szCs w:val="20"/>
              </w:rPr>
              <w:t>②</w:t>
            </w:r>
            <w:r>
              <w:rPr>
                <w:rFonts w:ascii="仿宋_GB2312" w:hAnsi="仿宋_GB2312" w:eastAsia="仿宋_GB2312"/>
                <w:kern w:val="0"/>
                <w:sz w:val="20"/>
                <w:szCs w:val="20"/>
              </w:rPr>
              <w:t>有本部门厉行节约制度</w:t>
            </w:r>
            <w:r>
              <w:rPr>
                <w:rFonts w:eastAsia="仿宋_GB2312"/>
                <w:kern w:val="0"/>
                <w:sz w:val="20"/>
                <w:szCs w:val="20"/>
              </w:rPr>
              <w:t>,2</w:t>
            </w:r>
            <w:r>
              <w:rPr>
                <w:rFonts w:ascii="仿宋_GB2312" w:hAnsi="仿宋_GB2312" w:eastAsia="仿宋_GB2312"/>
                <w:kern w:val="0"/>
                <w:sz w:val="20"/>
                <w:szCs w:val="20"/>
              </w:rPr>
              <w:t>分；</w:t>
            </w:r>
          </w:p>
          <w:p>
            <w:pPr>
              <w:widowControl/>
              <w:jc w:val="left"/>
              <w:rPr>
                <w:rFonts w:eastAsia="仿宋_GB2312"/>
                <w:kern w:val="0"/>
                <w:sz w:val="20"/>
                <w:szCs w:val="20"/>
              </w:rPr>
            </w:pPr>
            <w:r>
              <w:rPr>
                <w:rFonts w:hint="eastAsia" w:ascii="宋体" w:hAnsi="宋体"/>
                <w:kern w:val="0"/>
                <w:sz w:val="20"/>
                <w:szCs w:val="20"/>
              </w:rPr>
              <w:t>③</w:t>
            </w:r>
            <w:r>
              <w:rPr>
                <w:rFonts w:ascii="仿宋_GB2312" w:hAnsi="仿宋_GB2312" w:eastAsia="仿宋_GB2312"/>
                <w:kern w:val="0"/>
                <w:sz w:val="20"/>
                <w:szCs w:val="20"/>
              </w:rPr>
              <w:t>相关管理制度合法、合规、完整，</w:t>
            </w:r>
            <w:r>
              <w:rPr>
                <w:rFonts w:eastAsia="仿宋_GB2312"/>
                <w:kern w:val="0"/>
                <w:sz w:val="20"/>
                <w:szCs w:val="20"/>
              </w:rPr>
              <w:t>2</w:t>
            </w:r>
            <w:r>
              <w:rPr>
                <w:rFonts w:ascii="仿宋_GB2312" w:hAnsi="仿宋_GB2312" w:eastAsia="仿宋_GB2312"/>
                <w:kern w:val="0"/>
                <w:sz w:val="20"/>
                <w:szCs w:val="20"/>
              </w:rPr>
              <w:t>分；</w:t>
            </w:r>
            <w:r>
              <w:rPr>
                <w:rFonts w:hint="eastAsia" w:ascii="宋体" w:hAnsi="宋体"/>
                <w:kern w:val="0"/>
                <w:sz w:val="20"/>
                <w:szCs w:val="20"/>
              </w:rPr>
              <w:t>④</w:t>
            </w:r>
            <w:r>
              <w:rPr>
                <w:rFonts w:ascii="仿宋_GB2312" w:hAnsi="仿宋_GB2312" w:eastAsia="仿宋_GB2312"/>
                <w:kern w:val="0"/>
                <w:sz w:val="20"/>
                <w:szCs w:val="20"/>
              </w:rPr>
              <w:t>相关管理制度得到有效执行，</w:t>
            </w:r>
            <w:r>
              <w:rPr>
                <w:rFonts w:eastAsia="仿宋_GB2312"/>
                <w:kern w:val="0"/>
                <w:sz w:val="20"/>
                <w:szCs w:val="20"/>
              </w:rPr>
              <w:t>2</w:t>
            </w:r>
            <w:r>
              <w:rPr>
                <w:rFonts w:ascii="仿宋_GB2312" w:hAnsi="仿宋_GB2312" w:eastAsia="仿宋_GB2312"/>
                <w:kern w:val="0"/>
                <w:sz w:val="20"/>
                <w:szCs w:val="20"/>
              </w:rPr>
              <w:t>分。</w:t>
            </w:r>
          </w:p>
          <w:p>
            <w:pPr>
              <w:widowControl/>
              <w:jc w:val="left"/>
              <w:rPr>
                <w:rFonts w:eastAsia="仿宋_GB2312"/>
                <w:kern w:val="0"/>
                <w:sz w:val="20"/>
                <w:szCs w:val="20"/>
              </w:rPr>
            </w:pPr>
            <w:r>
              <w:rPr>
                <w:rFonts w:eastAsia="仿宋_GB2312"/>
                <w:kern w:val="0"/>
                <w:sz w:val="20"/>
                <w:szCs w:val="20"/>
              </w:rPr>
              <w:t>　</w:t>
            </w:r>
          </w:p>
        </w:tc>
        <w:tc>
          <w:tcPr>
            <w:tcW w:w="522" w:type="dxa"/>
            <w:tcBorders>
              <w:top w:val="nil"/>
              <w:left w:val="nil"/>
              <w:bottom w:val="single" w:color="auto" w:sz="4" w:space="0"/>
              <w:right w:val="single" w:color="auto" w:sz="4" w:space="0"/>
            </w:tcBorders>
            <w:noWrap/>
            <w:vAlign w:val="center"/>
          </w:tcPr>
          <w:p>
            <w:pPr>
              <w:widowControl/>
              <w:jc w:val="center"/>
              <w:rPr>
                <w:kern w:val="0"/>
                <w:sz w:val="24"/>
              </w:rPr>
            </w:pPr>
            <w:r>
              <w:rPr>
                <w:rFonts w:hint="eastAsia"/>
                <w:kern w:val="0"/>
                <w:sz w:val="24"/>
              </w:rPr>
              <w:t>8</w:t>
            </w:r>
          </w:p>
        </w:tc>
      </w:tr>
      <w:tr>
        <w:tblPrEx>
          <w:tblCellMar>
            <w:top w:w="0" w:type="dxa"/>
            <w:left w:w="108" w:type="dxa"/>
            <w:bottom w:w="0" w:type="dxa"/>
            <w:right w:w="108" w:type="dxa"/>
          </w:tblCellMar>
        </w:tblPrEx>
        <w:trPr>
          <w:gridAfter w:val="1"/>
          <w:wAfter w:w="8" w:type="dxa"/>
        </w:trPr>
        <w:tc>
          <w:tcPr>
            <w:tcW w:w="518" w:type="dxa"/>
            <w:vMerge w:val="continue"/>
            <w:tcBorders>
              <w:top w:val="nil"/>
              <w:left w:val="single" w:color="auto" w:sz="4" w:space="0"/>
              <w:bottom w:val="single" w:color="000000" w:sz="4" w:space="0"/>
              <w:right w:val="single" w:color="auto" w:sz="4" w:space="0"/>
            </w:tcBorders>
            <w:noWrap/>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资金使用合规性</w:t>
            </w:r>
          </w:p>
        </w:tc>
        <w:tc>
          <w:tcPr>
            <w:tcW w:w="478" w:type="dxa"/>
            <w:tcBorders>
              <w:top w:val="nil"/>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6</w:t>
            </w:r>
          </w:p>
        </w:tc>
        <w:tc>
          <w:tcPr>
            <w:tcW w:w="6379" w:type="dxa"/>
            <w:gridSpan w:val="2"/>
            <w:tcBorders>
              <w:top w:val="nil"/>
              <w:left w:val="nil"/>
              <w:bottom w:val="single" w:color="auto" w:sz="4" w:space="0"/>
              <w:right w:val="single" w:color="auto" w:sz="4" w:space="0"/>
            </w:tcBorders>
            <w:noWrap/>
            <w:vAlign w:val="center"/>
          </w:tcPr>
          <w:p>
            <w:pPr>
              <w:widowControl/>
              <w:jc w:val="left"/>
              <w:rPr>
                <w:rFonts w:ascii="仿宋_GB2312" w:hAnsi="仿宋_GB2312" w:eastAsia="仿宋_GB2312"/>
                <w:kern w:val="0"/>
                <w:sz w:val="20"/>
                <w:szCs w:val="20"/>
              </w:rPr>
            </w:pPr>
            <w:r>
              <w:rPr>
                <w:rFonts w:hint="eastAsia" w:ascii="宋体" w:hAnsi="宋体"/>
                <w:kern w:val="0"/>
                <w:sz w:val="20"/>
                <w:szCs w:val="20"/>
              </w:rPr>
              <w:t>①</w:t>
            </w:r>
            <w:r>
              <w:rPr>
                <w:rFonts w:ascii="仿宋_GB2312" w:hAnsi="仿宋_GB2312" w:eastAsia="仿宋_GB2312"/>
                <w:kern w:val="0"/>
                <w:sz w:val="20"/>
                <w:szCs w:val="20"/>
              </w:rPr>
              <w:t>支出符合国家财经法规和财务管理制度规定以及有关专项资金管理办法的规定；</w:t>
            </w:r>
            <w:r>
              <w:rPr>
                <w:rFonts w:hint="eastAsia" w:ascii="宋体" w:hAnsi="宋体"/>
                <w:kern w:val="0"/>
                <w:sz w:val="20"/>
                <w:szCs w:val="20"/>
              </w:rPr>
              <w:t>②</w:t>
            </w:r>
            <w:r>
              <w:rPr>
                <w:rFonts w:ascii="仿宋_GB2312" w:hAnsi="仿宋_GB2312" w:eastAsia="仿宋_GB2312"/>
                <w:kern w:val="0"/>
                <w:sz w:val="20"/>
                <w:szCs w:val="20"/>
              </w:rPr>
              <w:t>资金拨付有完整的审批程序和手续；</w:t>
            </w:r>
            <w:r>
              <w:rPr>
                <w:rFonts w:hint="eastAsia" w:ascii="宋体" w:hAnsi="宋体"/>
                <w:kern w:val="0"/>
                <w:sz w:val="20"/>
                <w:szCs w:val="20"/>
              </w:rPr>
              <w:t>③</w:t>
            </w:r>
            <w:r>
              <w:rPr>
                <w:rFonts w:ascii="仿宋_GB2312" w:hAnsi="仿宋_GB2312" w:eastAsia="仿宋_GB2312"/>
                <w:kern w:val="0"/>
                <w:sz w:val="20"/>
                <w:szCs w:val="20"/>
              </w:rPr>
              <w:t>项目支出按规定经过评估论证；</w:t>
            </w:r>
            <w:r>
              <w:rPr>
                <w:rFonts w:hint="eastAsia" w:ascii="宋体" w:hAnsi="宋体"/>
                <w:kern w:val="0"/>
                <w:sz w:val="20"/>
                <w:szCs w:val="20"/>
              </w:rPr>
              <w:t>④</w:t>
            </w:r>
            <w:r>
              <w:rPr>
                <w:rFonts w:ascii="仿宋_GB2312" w:hAnsi="仿宋_GB2312" w:eastAsia="仿宋_GB2312"/>
                <w:kern w:val="0"/>
                <w:sz w:val="20"/>
                <w:szCs w:val="20"/>
              </w:rPr>
              <w:t>支出符合部门预算批复的用途；</w:t>
            </w:r>
            <w:r>
              <w:rPr>
                <w:rFonts w:hint="eastAsia" w:ascii="宋体" w:hAnsi="宋体"/>
                <w:kern w:val="0"/>
                <w:sz w:val="20"/>
                <w:szCs w:val="20"/>
              </w:rPr>
              <w:t>⑤</w:t>
            </w:r>
            <w:r>
              <w:rPr>
                <w:rFonts w:ascii="仿宋_GB2312" w:hAnsi="仿宋_GB2312" w:eastAsia="仿宋_GB2312"/>
                <w:kern w:val="0"/>
                <w:sz w:val="20"/>
                <w:szCs w:val="20"/>
              </w:rPr>
              <w:t>资金使用无截留、挤占、挪用、虚列支出等情况。</w:t>
            </w:r>
          </w:p>
          <w:p>
            <w:pPr>
              <w:widowControl/>
              <w:jc w:val="left"/>
              <w:rPr>
                <w:rFonts w:eastAsia="仿宋_GB2312"/>
                <w:kern w:val="0"/>
                <w:sz w:val="20"/>
                <w:szCs w:val="20"/>
              </w:rPr>
            </w:pPr>
            <w:r>
              <w:rPr>
                <w:rFonts w:eastAsia="仿宋_GB2312"/>
                <w:kern w:val="0"/>
                <w:sz w:val="20"/>
                <w:szCs w:val="20"/>
              </w:rPr>
              <w:t>以上情况每出现一例不符合要求的扣1</w:t>
            </w:r>
            <w:r>
              <w:rPr>
                <w:rFonts w:ascii="仿宋_GB2312" w:hAnsi="仿宋_GB2312" w:eastAsia="仿宋_GB2312"/>
                <w:kern w:val="0"/>
                <w:sz w:val="20"/>
                <w:szCs w:val="20"/>
              </w:rPr>
              <w:t>分，扣完为止。</w:t>
            </w:r>
          </w:p>
          <w:p>
            <w:pPr>
              <w:widowControl/>
              <w:jc w:val="left"/>
              <w:rPr>
                <w:rFonts w:eastAsia="仿宋_GB2312"/>
                <w:kern w:val="0"/>
                <w:sz w:val="20"/>
                <w:szCs w:val="20"/>
              </w:rPr>
            </w:pPr>
            <w:r>
              <w:rPr>
                <w:rFonts w:eastAsia="仿宋_GB2312"/>
                <w:kern w:val="0"/>
                <w:sz w:val="20"/>
                <w:szCs w:val="20"/>
              </w:rPr>
              <w:t>　</w:t>
            </w:r>
          </w:p>
        </w:tc>
        <w:tc>
          <w:tcPr>
            <w:tcW w:w="522" w:type="dxa"/>
            <w:tcBorders>
              <w:top w:val="nil"/>
              <w:left w:val="nil"/>
              <w:bottom w:val="single" w:color="auto" w:sz="4" w:space="0"/>
              <w:right w:val="single" w:color="auto" w:sz="4" w:space="0"/>
            </w:tcBorders>
            <w:noWrap/>
            <w:vAlign w:val="center"/>
          </w:tcPr>
          <w:p>
            <w:pPr>
              <w:widowControl/>
              <w:jc w:val="center"/>
              <w:rPr>
                <w:kern w:val="0"/>
                <w:sz w:val="24"/>
              </w:rPr>
            </w:pPr>
            <w:r>
              <w:rPr>
                <w:rFonts w:hint="eastAsia"/>
                <w:kern w:val="0"/>
                <w:sz w:val="24"/>
              </w:rPr>
              <w:t>6</w:t>
            </w:r>
          </w:p>
        </w:tc>
      </w:tr>
      <w:tr>
        <w:tblPrEx>
          <w:tblCellMar>
            <w:top w:w="0" w:type="dxa"/>
            <w:left w:w="108" w:type="dxa"/>
            <w:bottom w:w="0" w:type="dxa"/>
            <w:right w:w="108" w:type="dxa"/>
          </w:tblCellMar>
        </w:tblPrEx>
        <w:trPr>
          <w:gridAfter w:val="1"/>
          <w:wAfter w:w="8" w:type="dxa"/>
        </w:trPr>
        <w:tc>
          <w:tcPr>
            <w:tcW w:w="518" w:type="dxa"/>
            <w:vMerge w:val="continue"/>
            <w:tcBorders>
              <w:top w:val="nil"/>
              <w:left w:val="single" w:color="auto" w:sz="4" w:space="0"/>
              <w:bottom w:val="single" w:color="000000" w:sz="4" w:space="0"/>
              <w:right w:val="single" w:color="auto" w:sz="4" w:space="0"/>
            </w:tcBorders>
            <w:noWrap/>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预决算信息公开性</w:t>
            </w:r>
          </w:p>
        </w:tc>
        <w:tc>
          <w:tcPr>
            <w:tcW w:w="478" w:type="dxa"/>
            <w:tcBorders>
              <w:top w:val="nil"/>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hint="eastAsia" w:ascii="宋体" w:hAnsi="宋体"/>
                <w:kern w:val="0"/>
                <w:sz w:val="20"/>
                <w:szCs w:val="20"/>
              </w:rPr>
              <w:t>①</w:t>
            </w:r>
            <w:r>
              <w:rPr>
                <w:rFonts w:ascii="仿宋_GB2312" w:hAnsi="仿宋_GB2312" w:eastAsia="仿宋_GB2312"/>
                <w:kern w:val="0"/>
                <w:sz w:val="20"/>
                <w:szCs w:val="20"/>
              </w:rPr>
              <w:t>按规定内容公开预决算信息，</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②</w:t>
            </w:r>
            <w:r>
              <w:rPr>
                <w:rFonts w:ascii="仿宋_GB2312" w:hAnsi="仿宋_GB2312" w:eastAsia="仿宋_GB2312"/>
                <w:kern w:val="0"/>
                <w:sz w:val="20"/>
                <w:szCs w:val="20"/>
              </w:rPr>
              <w:t>按规定时限公开预决算信息，</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③</w:t>
            </w:r>
            <w:r>
              <w:rPr>
                <w:rFonts w:ascii="仿宋_GB2312" w:hAnsi="仿宋_GB2312" w:eastAsia="仿宋_GB2312"/>
                <w:kern w:val="0"/>
                <w:sz w:val="20"/>
                <w:szCs w:val="20"/>
              </w:rPr>
              <w:t>基础数据信息和会计信息资料真实，</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④</w:t>
            </w:r>
            <w:r>
              <w:rPr>
                <w:rFonts w:ascii="仿宋_GB2312" w:hAnsi="仿宋_GB2312" w:eastAsia="仿宋_GB2312"/>
                <w:kern w:val="0"/>
                <w:sz w:val="20"/>
                <w:szCs w:val="20"/>
              </w:rPr>
              <w:t>基础数据信息和会计信息资料完整，</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⑤</w:t>
            </w:r>
            <w:r>
              <w:rPr>
                <w:rFonts w:ascii="仿宋_GB2312" w:hAnsi="仿宋_GB2312" w:eastAsia="仿宋_GB2312"/>
                <w:kern w:val="0"/>
                <w:sz w:val="20"/>
                <w:szCs w:val="20"/>
              </w:rPr>
              <w:t>基础数据信息和汇集信息资料准确，</w:t>
            </w:r>
            <w:r>
              <w:rPr>
                <w:rFonts w:eastAsia="仿宋_GB2312"/>
                <w:kern w:val="0"/>
                <w:sz w:val="20"/>
                <w:szCs w:val="20"/>
              </w:rPr>
              <w:t>1</w:t>
            </w:r>
            <w:r>
              <w:rPr>
                <w:rFonts w:ascii="仿宋_GB2312" w:hAnsi="仿宋_GB2312" w:eastAsia="仿宋_GB2312"/>
                <w:kern w:val="0"/>
                <w:sz w:val="20"/>
                <w:szCs w:val="20"/>
              </w:rPr>
              <w:t xml:space="preserve">分。  </w:t>
            </w:r>
          </w:p>
        </w:tc>
        <w:tc>
          <w:tcPr>
            <w:tcW w:w="3402"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预决算信息是指与部门预算、执行、决算、监督、绩效等管理相关的信息。</w:t>
            </w:r>
          </w:p>
        </w:tc>
        <w:tc>
          <w:tcPr>
            <w:tcW w:w="522" w:type="dxa"/>
            <w:tcBorders>
              <w:top w:val="nil"/>
              <w:left w:val="nil"/>
              <w:bottom w:val="single" w:color="auto" w:sz="4" w:space="0"/>
              <w:right w:val="single" w:color="auto" w:sz="4" w:space="0"/>
            </w:tcBorders>
            <w:noWrap/>
            <w:vAlign w:val="center"/>
          </w:tcPr>
          <w:p>
            <w:pPr>
              <w:widowControl/>
              <w:jc w:val="center"/>
              <w:rPr>
                <w:kern w:val="0"/>
                <w:sz w:val="24"/>
              </w:rPr>
            </w:pPr>
            <w:r>
              <w:rPr>
                <w:rFonts w:hint="eastAsia"/>
                <w:kern w:val="0"/>
                <w:sz w:val="24"/>
              </w:rPr>
              <w:t>5</w:t>
            </w:r>
          </w:p>
        </w:tc>
      </w:tr>
      <w:tr>
        <w:tblPrEx>
          <w:tblCellMar>
            <w:top w:w="0" w:type="dxa"/>
            <w:left w:w="108" w:type="dxa"/>
            <w:bottom w:w="0" w:type="dxa"/>
            <w:right w:w="108" w:type="dxa"/>
          </w:tblCellMar>
        </w:tblPrEx>
        <w:trPr>
          <w:gridAfter w:val="1"/>
          <w:wAfter w:w="8" w:type="dxa"/>
        </w:trPr>
        <w:tc>
          <w:tcPr>
            <w:tcW w:w="518" w:type="dxa"/>
            <w:vMerge w:val="restart"/>
            <w:tcBorders>
              <w:top w:val="nil"/>
              <w:left w:val="single" w:color="auto" w:sz="4" w:space="0"/>
              <w:bottom w:val="single" w:color="000000"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产出及效率</w:t>
            </w:r>
          </w:p>
        </w:tc>
        <w:tc>
          <w:tcPr>
            <w:tcW w:w="416" w:type="dxa"/>
            <w:vMerge w:val="restart"/>
            <w:tcBorders>
              <w:top w:val="nil"/>
              <w:left w:val="nil"/>
              <w:bottom w:val="single" w:color="000000"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30</w:t>
            </w:r>
          </w:p>
        </w:tc>
        <w:tc>
          <w:tcPr>
            <w:tcW w:w="677" w:type="dxa"/>
            <w:gridSpan w:val="2"/>
            <w:tcBorders>
              <w:top w:val="nil"/>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职责履行</w:t>
            </w:r>
          </w:p>
        </w:tc>
        <w:tc>
          <w:tcPr>
            <w:tcW w:w="416" w:type="dxa"/>
            <w:tcBorders>
              <w:top w:val="nil"/>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8</w:t>
            </w:r>
          </w:p>
        </w:tc>
        <w:tc>
          <w:tcPr>
            <w:tcW w:w="1194" w:type="dxa"/>
            <w:tcBorders>
              <w:top w:val="nil"/>
              <w:left w:val="nil"/>
              <w:bottom w:val="nil"/>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重点工作实际完成率</w:t>
            </w:r>
          </w:p>
        </w:tc>
        <w:tc>
          <w:tcPr>
            <w:tcW w:w="478" w:type="dxa"/>
            <w:tcBorders>
              <w:top w:val="nil"/>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8</w:t>
            </w:r>
          </w:p>
        </w:tc>
        <w:tc>
          <w:tcPr>
            <w:tcW w:w="2977"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根据绩效办20</w:t>
            </w:r>
            <w:r>
              <w:rPr>
                <w:rFonts w:hint="eastAsia" w:eastAsia="仿宋_GB2312"/>
                <w:kern w:val="0"/>
                <w:sz w:val="20"/>
                <w:szCs w:val="20"/>
              </w:rPr>
              <w:t>22</w:t>
            </w:r>
            <w:r>
              <w:rPr>
                <w:rFonts w:eastAsia="仿宋_GB2312"/>
                <w:kern w:val="0"/>
                <w:sz w:val="20"/>
                <w:szCs w:val="20"/>
              </w:rPr>
              <w:t>年对各部门为民办实事和部门重点工程与重点工作考核分数折算。</w:t>
            </w:r>
          </w:p>
          <w:p>
            <w:pPr>
              <w:widowControl/>
              <w:jc w:val="left"/>
              <w:rPr>
                <w:rFonts w:eastAsia="仿宋_GB2312"/>
                <w:kern w:val="0"/>
                <w:sz w:val="20"/>
                <w:szCs w:val="20"/>
              </w:rPr>
            </w:pPr>
            <w:r>
              <w:rPr>
                <w:rFonts w:eastAsia="仿宋_GB2312"/>
                <w:kern w:val="0"/>
                <w:sz w:val="20"/>
                <w:szCs w:val="20"/>
              </w:rPr>
              <w:t>该项得分=</w:t>
            </w:r>
            <w:r>
              <w:rPr>
                <w:rFonts w:ascii="仿宋_GB2312" w:hAnsi="仿宋_GB2312" w:eastAsia="仿宋_GB2312"/>
                <w:kern w:val="0"/>
                <w:sz w:val="20"/>
                <w:szCs w:val="20"/>
              </w:rPr>
              <w:t>（绩效办对应部分考核得分</w:t>
            </w:r>
            <w:r>
              <w:rPr>
                <w:rFonts w:eastAsia="仿宋_GB2312"/>
                <w:kern w:val="0"/>
                <w:sz w:val="20"/>
                <w:szCs w:val="20"/>
              </w:rPr>
              <w:t>/350</w:t>
            </w:r>
            <w:r>
              <w:rPr>
                <w:rFonts w:ascii="仿宋_GB2312" w:hAnsi="仿宋_GB2312" w:eastAsia="仿宋_GB2312"/>
                <w:kern w:val="0"/>
                <w:sz w:val="20"/>
                <w:szCs w:val="20"/>
              </w:rPr>
              <w:t>）</w:t>
            </w:r>
            <w:r>
              <w:rPr>
                <w:rFonts w:eastAsia="仿宋_GB2312"/>
                <w:kern w:val="0"/>
                <w:sz w:val="20"/>
                <w:szCs w:val="20"/>
              </w:rPr>
              <w:t>*8</w:t>
            </w:r>
          </w:p>
        </w:tc>
        <w:tc>
          <w:tcPr>
            <w:tcW w:w="3402"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　</w:t>
            </w:r>
          </w:p>
        </w:tc>
        <w:tc>
          <w:tcPr>
            <w:tcW w:w="522" w:type="dxa"/>
            <w:tcBorders>
              <w:top w:val="nil"/>
              <w:left w:val="nil"/>
              <w:bottom w:val="single" w:color="auto" w:sz="4" w:space="0"/>
              <w:right w:val="single" w:color="auto" w:sz="4" w:space="0"/>
            </w:tcBorders>
            <w:noWrap/>
            <w:vAlign w:val="center"/>
          </w:tcPr>
          <w:p>
            <w:pPr>
              <w:widowControl/>
              <w:jc w:val="center"/>
              <w:rPr>
                <w:kern w:val="0"/>
                <w:sz w:val="24"/>
              </w:rPr>
            </w:pPr>
            <w:r>
              <w:rPr>
                <w:rFonts w:hint="eastAsia"/>
                <w:kern w:val="0"/>
                <w:sz w:val="24"/>
              </w:rPr>
              <w:t>8</w:t>
            </w:r>
          </w:p>
        </w:tc>
      </w:tr>
      <w:tr>
        <w:tblPrEx>
          <w:tblCellMar>
            <w:top w:w="0" w:type="dxa"/>
            <w:left w:w="108" w:type="dxa"/>
            <w:bottom w:w="0" w:type="dxa"/>
            <w:right w:w="108" w:type="dxa"/>
          </w:tblCellMar>
        </w:tblPrEx>
        <w:trPr>
          <w:gridAfter w:val="1"/>
          <w:wAfter w:w="8" w:type="dxa"/>
          <w:trHeight w:val="445" w:hRule="atLeast"/>
        </w:trPr>
        <w:tc>
          <w:tcPr>
            <w:tcW w:w="518" w:type="dxa"/>
            <w:vMerge w:val="continue"/>
            <w:tcBorders>
              <w:top w:val="nil"/>
              <w:left w:val="single" w:color="auto" w:sz="4" w:space="0"/>
              <w:bottom w:val="single" w:color="000000" w:sz="4" w:space="0"/>
              <w:right w:val="single" w:color="auto" w:sz="4" w:space="0"/>
            </w:tcBorders>
            <w:noWrap/>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677" w:type="dxa"/>
            <w:gridSpan w:val="2"/>
            <w:vMerge w:val="restart"/>
            <w:tcBorders>
              <w:top w:val="nil"/>
              <w:left w:val="nil"/>
              <w:bottom w:val="single" w:color="000000"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履职 效益</w:t>
            </w:r>
          </w:p>
        </w:tc>
        <w:tc>
          <w:tcPr>
            <w:tcW w:w="416" w:type="dxa"/>
            <w:vMerge w:val="restart"/>
            <w:tcBorders>
              <w:top w:val="nil"/>
              <w:left w:val="nil"/>
              <w:bottom w:val="single" w:color="000000"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10</w:t>
            </w:r>
          </w:p>
        </w:tc>
        <w:tc>
          <w:tcPr>
            <w:tcW w:w="1194" w:type="dxa"/>
            <w:tcBorders>
              <w:top w:val="single" w:color="auto" w:sz="4" w:space="0"/>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经济效益</w:t>
            </w:r>
          </w:p>
        </w:tc>
        <w:tc>
          <w:tcPr>
            <w:tcW w:w="478" w:type="dxa"/>
            <w:vMerge w:val="restart"/>
            <w:tcBorders>
              <w:top w:val="nil"/>
              <w:left w:val="nil"/>
              <w:bottom w:val="nil"/>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10</w:t>
            </w:r>
          </w:p>
        </w:tc>
        <w:tc>
          <w:tcPr>
            <w:tcW w:w="6379" w:type="dxa"/>
            <w:gridSpan w:val="2"/>
            <w:vMerge w:val="restart"/>
            <w:tcBorders>
              <w:top w:val="nil"/>
              <w:left w:val="nil"/>
              <w:bottom w:val="nil"/>
              <w:right w:val="single" w:color="000000" w:sz="4" w:space="0"/>
            </w:tcBorders>
            <w:noWrap/>
            <w:vAlign w:val="center"/>
          </w:tcPr>
          <w:p>
            <w:pPr>
              <w:widowControl/>
              <w:jc w:val="left"/>
              <w:rPr>
                <w:rFonts w:eastAsia="仿宋_GB2312"/>
                <w:kern w:val="0"/>
                <w:sz w:val="20"/>
                <w:szCs w:val="20"/>
              </w:rPr>
            </w:pPr>
            <w:r>
              <w:rPr>
                <w:rFonts w:eastAsia="仿宋_GB2312"/>
                <w:kern w:val="0"/>
                <w:sz w:val="20"/>
                <w:szCs w:val="20"/>
              </w:rPr>
              <w:t>此两项指标为设置部门整体支出绩效评价指标时必须考虑的共性要素，可根据部门实际情况有选择的进行设置，并将其细化为相应的个性化指标。</w:t>
            </w:r>
          </w:p>
        </w:tc>
        <w:tc>
          <w:tcPr>
            <w:tcW w:w="522" w:type="dxa"/>
            <w:tcBorders>
              <w:top w:val="nil"/>
              <w:left w:val="nil"/>
              <w:bottom w:val="nil"/>
              <w:right w:val="single" w:color="auto" w:sz="4" w:space="0"/>
            </w:tcBorders>
            <w:noWrap/>
            <w:vAlign w:val="center"/>
          </w:tcPr>
          <w:p>
            <w:pPr>
              <w:widowControl/>
              <w:jc w:val="center"/>
              <w:rPr>
                <w:kern w:val="0"/>
                <w:sz w:val="24"/>
              </w:rPr>
            </w:pPr>
          </w:p>
        </w:tc>
      </w:tr>
      <w:tr>
        <w:tblPrEx>
          <w:tblCellMar>
            <w:top w:w="0" w:type="dxa"/>
            <w:left w:w="108" w:type="dxa"/>
            <w:bottom w:w="0" w:type="dxa"/>
            <w:right w:w="108" w:type="dxa"/>
          </w:tblCellMar>
        </w:tblPrEx>
        <w:trPr>
          <w:gridAfter w:val="1"/>
          <w:wAfter w:w="8" w:type="dxa"/>
          <w:trHeight w:val="383" w:hRule="atLeast"/>
        </w:trPr>
        <w:tc>
          <w:tcPr>
            <w:tcW w:w="518" w:type="dxa"/>
            <w:vMerge w:val="continue"/>
            <w:tcBorders>
              <w:top w:val="nil"/>
              <w:left w:val="single" w:color="auto" w:sz="4" w:space="0"/>
              <w:bottom w:val="single" w:color="000000" w:sz="4" w:space="0"/>
              <w:right w:val="single" w:color="auto" w:sz="4" w:space="0"/>
            </w:tcBorders>
            <w:noWrap/>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社会效益</w:t>
            </w:r>
          </w:p>
        </w:tc>
        <w:tc>
          <w:tcPr>
            <w:tcW w:w="478" w:type="dxa"/>
            <w:vMerge w:val="continue"/>
            <w:tcBorders>
              <w:top w:val="nil"/>
              <w:left w:val="nil"/>
              <w:bottom w:val="nil"/>
              <w:right w:val="single" w:color="auto" w:sz="4" w:space="0"/>
            </w:tcBorders>
            <w:noWrap/>
            <w:vAlign w:val="center"/>
          </w:tcPr>
          <w:p>
            <w:pPr>
              <w:widowControl/>
              <w:jc w:val="left"/>
              <w:rPr>
                <w:rFonts w:eastAsia="仿宋_GB2312"/>
                <w:kern w:val="0"/>
                <w:sz w:val="20"/>
                <w:szCs w:val="20"/>
              </w:rPr>
            </w:pPr>
          </w:p>
        </w:tc>
        <w:tc>
          <w:tcPr>
            <w:tcW w:w="6379" w:type="dxa"/>
            <w:gridSpan w:val="2"/>
            <w:vMerge w:val="continue"/>
            <w:tcBorders>
              <w:top w:val="nil"/>
              <w:left w:val="nil"/>
              <w:bottom w:val="nil"/>
              <w:right w:val="single" w:color="000000" w:sz="4" w:space="0"/>
            </w:tcBorders>
            <w:noWrap/>
            <w:vAlign w:val="center"/>
          </w:tcPr>
          <w:p>
            <w:pPr>
              <w:widowControl/>
              <w:jc w:val="left"/>
              <w:rPr>
                <w:rFonts w:eastAsia="仿宋_GB2312"/>
                <w:kern w:val="0"/>
                <w:sz w:val="20"/>
                <w:szCs w:val="20"/>
              </w:rPr>
            </w:pPr>
          </w:p>
        </w:tc>
        <w:tc>
          <w:tcPr>
            <w:tcW w:w="522" w:type="dxa"/>
            <w:tcBorders>
              <w:top w:val="nil"/>
              <w:left w:val="nil"/>
              <w:bottom w:val="nil"/>
              <w:right w:val="single" w:color="auto" w:sz="4" w:space="0"/>
            </w:tcBorders>
            <w:noWrap/>
            <w:vAlign w:val="center"/>
          </w:tcPr>
          <w:p>
            <w:pPr>
              <w:widowControl/>
              <w:jc w:val="center"/>
              <w:rPr>
                <w:kern w:val="0"/>
                <w:sz w:val="24"/>
              </w:rPr>
            </w:pPr>
            <w:r>
              <w:rPr>
                <w:rFonts w:hint="eastAsia"/>
                <w:kern w:val="0"/>
                <w:sz w:val="24"/>
              </w:rPr>
              <w:t>9</w:t>
            </w:r>
          </w:p>
        </w:tc>
      </w:tr>
      <w:tr>
        <w:tblPrEx>
          <w:tblCellMar>
            <w:top w:w="0" w:type="dxa"/>
            <w:left w:w="108" w:type="dxa"/>
            <w:bottom w:w="0" w:type="dxa"/>
            <w:right w:w="108" w:type="dxa"/>
          </w:tblCellMar>
        </w:tblPrEx>
        <w:trPr>
          <w:gridAfter w:val="1"/>
          <w:wAfter w:w="8" w:type="dxa"/>
        </w:trPr>
        <w:tc>
          <w:tcPr>
            <w:tcW w:w="518" w:type="dxa"/>
            <w:vMerge w:val="continue"/>
            <w:tcBorders>
              <w:top w:val="nil"/>
              <w:left w:val="single" w:color="auto" w:sz="4" w:space="0"/>
              <w:bottom w:val="single" w:color="000000" w:sz="4" w:space="0"/>
              <w:right w:val="single" w:color="auto" w:sz="4" w:space="0"/>
            </w:tcBorders>
            <w:noWrap/>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416" w:type="dxa"/>
            <w:vMerge w:val="restart"/>
            <w:tcBorders>
              <w:top w:val="nil"/>
              <w:left w:val="nil"/>
              <w:bottom w:val="single" w:color="000000"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12</w:t>
            </w:r>
          </w:p>
        </w:tc>
        <w:tc>
          <w:tcPr>
            <w:tcW w:w="1194"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行政效能</w:t>
            </w:r>
          </w:p>
        </w:tc>
        <w:tc>
          <w:tcPr>
            <w:tcW w:w="478" w:type="dxa"/>
            <w:tcBorders>
              <w:top w:val="single" w:color="auto" w:sz="4" w:space="0"/>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6</w:t>
            </w:r>
          </w:p>
        </w:tc>
        <w:tc>
          <w:tcPr>
            <w:tcW w:w="2977" w:type="dxa"/>
            <w:tcBorders>
              <w:top w:val="single" w:color="auto" w:sz="4" w:space="0"/>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促进部门改进文风会风，加强经费及资产管理，推动网上办事，提高行政效率，降低行政成本效果较好的计6</w:t>
            </w:r>
            <w:r>
              <w:rPr>
                <w:rFonts w:ascii="仿宋_GB2312" w:hAnsi="仿宋_GB2312" w:eastAsia="仿宋_GB2312"/>
                <w:kern w:val="0"/>
                <w:sz w:val="20"/>
                <w:szCs w:val="20"/>
              </w:rPr>
              <w:t>分；一般</w:t>
            </w:r>
            <w:r>
              <w:rPr>
                <w:rFonts w:eastAsia="仿宋_GB2312"/>
                <w:kern w:val="0"/>
                <w:sz w:val="20"/>
                <w:szCs w:val="20"/>
              </w:rPr>
              <w:t>3</w:t>
            </w:r>
            <w:r>
              <w:rPr>
                <w:rFonts w:ascii="仿宋_GB2312" w:hAnsi="仿宋_GB2312" w:eastAsia="仿宋_GB2312"/>
                <w:kern w:val="0"/>
                <w:sz w:val="20"/>
                <w:szCs w:val="20"/>
              </w:rPr>
              <w:t>分；无效果或者效果不明显</w:t>
            </w:r>
            <w:r>
              <w:rPr>
                <w:rFonts w:eastAsia="仿宋_GB2312"/>
                <w:kern w:val="0"/>
                <w:sz w:val="20"/>
                <w:szCs w:val="20"/>
              </w:rPr>
              <w:t>0</w:t>
            </w:r>
            <w:r>
              <w:rPr>
                <w:rFonts w:ascii="仿宋_GB2312" w:hAnsi="仿宋_GB2312" w:eastAsia="仿宋_GB2312"/>
                <w:kern w:val="0"/>
                <w:sz w:val="20"/>
                <w:szCs w:val="20"/>
              </w:rPr>
              <w:t>分。</w:t>
            </w:r>
          </w:p>
        </w:tc>
        <w:tc>
          <w:tcPr>
            <w:tcW w:w="3402" w:type="dxa"/>
            <w:tcBorders>
              <w:top w:val="single" w:color="auto" w:sz="4" w:space="0"/>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根据部门自评材料3</w:t>
            </w:r>
            <w:r>
              <w:rPr>
                <w:rFonts w:hint="eastAsia" w:eastAsia="仿宋_GB2312"/>
                <w:kern w:val="0"/>
                <w:sz w:val="20"/>
                <w:szCs w:val="20"/>
              </w:rPr>
              <w:t>党政机关采购项目资</w:t>
            </w:r>
            <w:r>
              <w:rPr>
                <w:rFonts w:eastAsia="仿宋_GB2312"/>
                <w:kern w:val="0"/>
                <w:sz w:val="20"/>
                <w:szCs w:val="20"/>
              </w:rPr>
              <w:t>2.4评定。</w:t>
            </w:r>
          </w:p>
        </w:tc>
        <w:tc>
          <w:tcPr>
            <w:tcW w:w="522" w:type="dxa"/>
            <w:tcBorders>
              <w:top w:val="single" w:color="auto" w:sz="4" w:space="0"/>
              <w:left w:val="nil"/>
              <w:bottom w:val="single" w:color="auto" w:sz="4" w:space="0"/>
              <w:right w:val="single" w:color="auto" w:sz="4" w:space="0"/>
            </w:tcBorders>
            <w:noWrap/>
            <w:vAlign w:val="center"/>
          </w:tcPr>
          <w:p>
            <w:pPr>
              <w:widowControl/>
              <w:jc w:val="center"/>
              <w:rPr>
                <w:kern w:val="0"/>
                <w:sz w:val="24"/>
              </w:rPr>
            </w:pPr>
            <w:r>
              <w:rPr>
                <w:rFonts w:hint="eastAsia"/>
                <w:kern w:val="0"/>
                <w:sz w:val="24"/>
              </w:rPr>
              <w:t>5</w:t>
            </w:r>
          </w:p>
        </w:tc>
      </w:tr>
      <w:tr>
        <w:tblPrEx>
          <w:tblCellMar>
            <w:top w:w="0" w:type="dxa"/>
            <w:left w:w="108" w:type="dxa"/>
            <w:bottom w:w="0" w:type="dxa"/>
            <w:right w:w="108" w:type="dxa"/>
          </w:tblCellMar>
        </w:tblPrEx>
        <w:trPr>
          <w:gridAfter w:val="1"/>
          <w:wAfter w:w="8" w:type="dxa"/>
          <w:trHeight w:val="1241" w:hRule="atLeast"/>
        </w:trPr>
        <w:tc>
          <w:tcPr>
            <w:tcW w:w="518" w:type="dxa"/>
            <w:vMerge w:val="continue"/>
            <w:tcBorders>
              <w:top w:val="nil"/>
              <w:left w:val="single" w:color="auto" w:sz="4" w:space="0"/>
              <w:bottom w:val="nil"/>
              <w:right w:val="single" w:color="auto" w:sz="4" w:space="0"/>
            </w:tcBorders>
            <w:noWrap/>
            <w:vAlign w:val="center"/>
          </w:tcPr>
          <w:p>
            <w:pPr>
              <w:widowControl/>
              <w:jc w:val="left"/>
              <w:rPr>
                <w:rFonts w:eastAsia="仿宋_GB2312"/>
                <w:kern w:val="0"/>
                <w:sz w:val="20"/>
                <w:szCs w:val="20"/>
              </w:rPr>
            </w:pPr>
          </w:p>
        </w:tc>
        <w:tc>
          <w:tcPr>
            <w:tcW w:w="416" w:type="dxa"/>
            <w:vMerge w:val="continue"/>
            <w:tcBorders>
              <w:top w:val="nil"/>
              <w:left w:val="nil"/>
              <w:bottom w:val="nil"/>
              <w:right w:val="single" w:color="auto" w:sz="4" w:space="0"/>
            </w:tcBorders>
            <w:noWrap/>
            <w:vAlign w:val="center"/>
          </w:tcPr>
          <w:p>
            <w:pPr>
              <w:widowControl/>
              <w:jc w:val="left"/>
              <w:rPr>
                <w:rFonts w:eastAsia="仿宋_GB2312"/>
                <w:kern w:val="0"/>
                <w:sz w:val="20"/>
                <w:szCs w:val="20"/>
              </w:rPr>
            </w:pPr>
          </w:p>
        </w:tc>
        <w:tc>
          <w:tcPr>
            <w:tcW w:w="677" w:type="dxa"/>
            <w:gridSpan w:val="2"/>
            <w:vMerge w:val="continue"/>
            <w:tcBorders>
              <w:top w:val="nil"/>
              <w:left w:val="nil"/>
              <w:bottom w:val="nil"/>
              <w:right w:val="single" w:color="auto" w:sz="4" w:space="0"/>
            </w:tcBorders>
            <w:noWrap/>
            <w:vAlign w:val="center"/>
          </w:tcPr>
          <w:p>
            <w:pPr>
              <w:widowControl/>
              <w:jc w:val="left"/>
              <w:rPr>
                <w:rFonts w:eastAsia="仿宋_GB2312"/>
                <w:kern w:val="0"/>
                <w:sz w:val="20"/>
                <w:szCs w:val="20"/>
              </w:rPr>
            </w:pPr>
          </w:p>
        </w:tc>
        <w:tc>
          <w:tcPr>
            <w:tcW w:w="416" w:type="dxa"/>
            <w:vMerge w:val="continue"/>
            <w:tcBorders>
              <w:top w:val="nil"/>
              <w:left w:val="nil"/>
              <w:bottom w:val="nil"/>
              <w:right w:val="single" w:color="auto" w:sz="4" w:space="0"/>
            </w:tcBorders>
            <w:noWrap/>
            <w:vAlign w:val="center"/>
          </w:tcPr>
          <w:p>
            <w:pPr>
              <w:widowControl/>
              <w:jc w:val="left"/>
              <w:rPr>
                <w:rFonts w:eastAsia="仿宋_GB2312"/>
                <w:kern w:val="0"/>
                <w:sz w:val="20"/>
                <w:szCs w:val="20"/>
              </w:rPr>
            </w:pPr>
          </w:p>
        </w:tc>
        <w:tc>
          <w:tcPr>
            <w:tcW w:w="1194" w:type="dxa"/>
            <w:tcBorders>
              <w:top w:val="nil"/>
              <w:left w:val="nil"/>
              <w:bottom w:val="nil"/>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社会公众或服务对象满意度</w:t>
            </w:r>
          </w:p>
        </w:tc>
        <w:tc>
          <w:tcPr>
            <w:tcW w:w="478" w:type="dxa"/>
            <w:tcBorders>
              <w:top w:val="nil"/>
              <w:left w:val="nil"/>
              <w:bottom w:val="nil"/>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6</w:t>
            </w:r>
          </w:p>
        </w:tc>
        <w:tc>
          <w:tcPr>
            <w:tcW w:w="2977" w:type="dxa"/>
            <w:tcBorders>
              <w:top w:val="nil"/>
              <w:left w:val="nil"/>
              <w:bottom w:val="nil"/>
              <w:right w:val="single" w:color="auto" w:sz="4" w:space="0"/>
            </w:tcBorders>
            <w:noWrap/>
            <w:vAlign w:val="center"/>
          </w:tcPr>
          <w:p>
            <w:pPr>
              <w:widowControl/>
              <w:jc w:val="left"/>
              <w:rPr>
                <w:rFonts w:ascii="仿宋_GB2312" w:hAnsi="仿宋_GB2312" w:eastAsia="仿宋_GB2312"/>
                <w:kern w:val="0"/>
                <w:sz w:val="20"/>
                <w:szCs w:val="20"/>
              </w:rPr>
            </w:pPr>
            <w:r>
              <w:rPr>
                <w:rFonts w:eastAsia="仿宋_GB2312"/>
                <w:kern w:val="0"/>
                <w:sz w:val="20"/>
                <w:szCs w:val="20"/>
              </w:rPr>
              <w:t>90%</w:t>
            </w:r>
            <w:r>
              <w:rPr>
                <w:rFonts w:ascii="仿宋_GB2312" w:hAnsi="仿宋_GB2312" w:eastAsia="仿宋_GB2312"/>
                <w:kern w:val="0"/>
                <w:sz w:val="20"/>
                <w:szCs w:val="20"/>
              </w:rPr>
              <w:t>（含）以上计</w:t>
            </w:r>
            <w:r>
              <w:rPr>
                <w:rFonts w:eastAsia="仿宋_GB2312"/>
                <w:kern w:val="0"/>
                <w:sz w:val="20"/>
                <w:szCs w:val="20"/>
              </w:rPr>
              <w:t>6</w:t>
            </w:r>
            <w:r>
              <w:rPr>
                <w:rFonts w:ascii="仿宋_GB2312" w:hAnsi="仿宋_GB2312" w:eastAsia="仿宋_GB2312"/>
                <w:kern w:val="0"/>
                <w:sz w:val="20"/>
                <w:szCs w:val="20"/>
              </w:rPr>
              <w:t>分；</w:t>
            </w:r>
          </w:p>
          <w:p>
            <w:pPr>
              <w:widowControl/>
              <w:jc w:val="left"/>
              <w:rPr>
                <w:rFonts w:ascii="仿宋_GB2312" w:hAnsi="仿宋_GB2312" w:eastAsia="仿宋_GB2312"/>
                <w:kern w:val="0"/>
                <w:sz w:val="20"/>
                <w:szCs w:val="20"/>
              </w:rPr>
            </w:pPr>
            <w:r>
              <w:rPr>
                <w:rFonts w:eastAsia="仿宋_GB2312"/>
                <w:kern w:val="0"/>
                <w:sz w:val="20"/>
                <w:szCs w:val="20"/>
              </w:rPr>
              <w:t>80%</w:t>
            </w:r>
            <w:r>
              <w:rPr>
                <w:rFonts w:ascii="仿宋_GB2312" w:hAnsi="仿宋_GB2312" w:eastAsia="仿宋_GB2312"/>
                <w:kern w:val="0"/>
                <w:sz w:val="20"/>
                <w:szCs w:val="20"/>
              </w:rPr>
              <w:t>（含）</w:t>
            </w:r>
            <w:r>
              <w:rPr>
                <w:rFonts w:eastAsia="仿宋_GB2312"/>
                <w:kern w:val="0"/>
                <w:sz w:val="20"/>
                <w:szCs w:val="20"/>
              </w:rPr>
              <w:t>-90%</w:t>
            </w:r>
            <w:r>
              <w:rPr>
                <w:rFonts w:ascii="仿宋_GB2312" w:hAnsi="仿宋_GB2312" w:eastAsia="仿宋_GB2312"/>
                <w:kern w:val="0"/>
                <w:sz w:val="20"/>
                <w:szCs w:val="20"/>
              </w:rPr>
              <w:t>，计</w:t>
            </w:r>
            <w:r>
              <w:rPr>
                <w:rFonts w:eastAsia="仿宋_GB2312"/>
                <w:kern w:val="0"/>
                <w:sz w:val="20"/>
                <w:szCs w:val="20"/>
              </w:rPr>
              <w:t>4</w:t>
            </w:r>
            <w:r>
              <w:rPr>
                <w:rFonts w:ascii="仿宋_GB2312" w:hAnsi="仿宋_GB2312" w:eastAsia="仿宋_GB2312"/>
                <w:kern w:val="0"/>
                <w:sz w:val="20"/>
                <w:szCs w:val="20"/>
              </w:rPr>
              <w:t>分；</w:t>
            </w:r>
          </w:p>
          <w:p>
            <w:pPr>
              <w:widowControl/>
              <w:jc w:val="left"/>
              <w:rPr>
                <w:rFonts w:ascii="仿宋_GB2312" w:hAnsi="仿宋_GB2312" w:eastAsia="仿宋_GB2312"/>
                <w:kern w:val="0"/>
                <w:sz w:val="20"/>
                <w:szCs w:val="20"/>
              </w:rPr>
            </w:pPr>
            <w:r>
              <w:rPr>
                <w:rFonts w:eastAsia="仿宋_GB2312"/>
                <w:kern w:val="0"/>
                <w:sz w:val="20"/>
                <w:szCs w:val="20"/>
              </w:rPr>
              <w:t>70%</w:t>
            </w:r>
            <w:r>
              <w:rPr>
                <w:rFonts w:ascii="仿宋_GB2312" w:hAnsi="仿宋_GB2312" w:eastAsia="仿宋_GB2312"/>
                <w:kern w:val="0"/>
                <w:sz w:val="20"/>
                <w:szCs w:val="20"/>
              </w:rPr>
              <w:t>（含）</w:t>
            </w:r>
            <w:r>
              <w:rPr>
                <w:rFonts w:eastAsia="仿宋_GB2312"/>
                <w:kern w:val="0"/>
                <w:sz w:val="20"/>
                <w:szCs w:val="20"/>
              </w:rPr>
              <w:t>-80%</w:t>
            </w:r>
            <w:r>
              <w:rPr>
                <w:rFonts w:ascii="仿宋_GB2312" w:hAnsi="仿宋_GB2312" w:eastAsia="仿宋_GB2312"/>
                <w:kern w:val="0"/>
                <w:sz w:val="20"/>
                <w:szCs w:val="20"/>
              </w:rPr>
              <w:t>，计</w:t>
            </w:r>
            <w:r>
              <w:rPr>
                <w:rFonts w:eastAsia="仿宋_GB2312"/>
                <w:kern w:val="0"/>
                <w:sz w:val="20"/>
                <w:szCs w:val="20"/>
              </w:rPr>
              <w:t>2</w:t>
            </w:r>
            <w:r>
              <w:rPr>
                <w:rFonts w:ascii="仿宋_GB2312" w:hAnsi="仿宋_GB2312" w:eastAsia="仿宋_GB2312"/>
                <w:kern w:val="0"/>
                <w:sz w:val="20"/>
                <w:szCs w:val="20"/>
              </w:rPr>
              <w:t>分；</w:t>
            </w:r>
          </w:p>
          <w:p>
            <w:pPr>
              <w:widowControl/>
              <w:jc w:val="left"/>
              <w:rPr>
                <w:rFonts w:eastAsia="仿宋_GB2312"/>
                <w:kern w:val="0"/>
                <w:sz w:val="20"/>
                <w:szCs w:val="20"/>
              </w:rPr>
            </w:pPr>
            <w:r>
              <w:rPr>
                <w:rFonts w:eastAsia="仿宋_GB2312"/>
                <w:kern w:val="0"/>
                <w:sz w:val="20"/>
                <w:szCs w:val="20"/>
              </w:rPr>
              <w:t>低于70%</w:t>
            </w:r>
            <w:r>
              <w:rPr>
                <w:rFonts w:ascii="仿宋_GB2312" w:hAnsi="仿宋_GB2312" w:eastAsia="仿宋_GB2312"/>
                <w:kern w:val="0"/>
                <w:sz w:val="20"/>
                <w:szCs w:val="20"/>
              </w:rPr>
              <w:t>计</w:t>
            </w:r>
            <w:r>
              <w:rPr>
                <w:rFonts w:eastAsia="仿宋_GB2312"/>
                <w:kern w:val="0"/>
                <w:sz w:val="20"/>
                <w:szCs w:val="20"/>
              </w:rPr>
              <w:t>0</w:t>
            </w:r>
            <w:r>
              <w:rPr>
                <w:rFonts w:ascii="仿宋_GB2312" w:hAnsi="仿宋_GB2312" w:eastAsia="仿宋_GB2312"/>
                <w:kern w:val="0"/>
                <w:sz w:val="20"/>
                <w:szCs w:val="20"/>
              </w:rPr>
              <w:t>分。</w:t>
            </w:r>
          </w:p>
        </w:tc>
        <w:tc>
          <w:tcPr>
            <w:tcW w:w="3402" w:type="dxa"/>
            <w:tcBorders>
              <w:top w:val="nil"/>
              <w:left w:val="nil"/>
              <w:bottom w:val="nil"/>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社会公众或服务对象是指部门（单位）履行职责而影响到的部门、群体或个人，一般采取社会调查的方式。</w:t>
            </w:r>
          </w:p>
        </w:tc>
        <w:tc>
          <w:tcPr>
            <w:tcW w:w="522" w:type="dxa"/>
            <w:tcBorders>
              <w:top w:val="nil"/>
              <w:left w:val="nil"/>
              <w:bottom w:val="nil"/>
              <w:right w:val="single" w:color="auto" w:sz="4" w:space="0"/>
            </w:tcBorders>
            <w:noWrap/>
            <w:vAlign w:val="center"/>
          </w:tcPr>
          <w:p>
            <w:pPr>
              <w:widowControl/>
              <w:jc w:val="center"/>
              <w:rPr>
                <w:kern w:val="0"/>
                <w:sz w:val="24"/>
              </w:rPr>
            </w:pPr>
            <w:r>
              <w:rPr>
                <w:rFonts w:hint="eastAsia"/>
                <w:kern w:val="0"/>
                <w:sz w:val="24"/>
              </w:rPr>
              <w:t>6</w:t>
            </w:r>
          </w:p>
        </w:tc>
      </w:tr>
      <w:tr>
        <w:tblPrEx>
          <w:tblCellMar>
            <w:top w:w="0" w:type="dxa"/>
            <w:left w:w="108" w:type="dxa"/>
            <w:bottom w:w="0" w:type="dxa"/>
            <w:right w:w="108" w:type="dxa"/>
          </w:tblCellMar>
        </w:tblPrEx>
        <w:trPr>
          <w:trHeight w:val="384" w:hRule="atLeast"/>
        </w:trPr>
        <w:tc>
          <w:tcPr>
            <w:tcW w:w="1366" w:type="dxa"/>
            <w:gridSpan w:val="3"/>
            <w:tcBorders>
              <w:top w:val="single" w:color="auto" w:sz="4" w:space="0"/>
              <w:left w:val="single" w:color="auto" w:sz="4" w:space="0"/>
              <w:bottom w:val="single" w:color="auto" w:sz="4" w:space="0"/>
              <w:right w:val="single" w:color="auto" w:sz="4" w:space="0"/>
            </w:tcBorders>
            <w:noWrap/>
            <w:vAlign w:val="center"/>
          </w:tcPr>
          <w:p>
            <w:pPr>
              <w:widowControl/>
              <w:jc w:val="center"/>
              <w:rPr>
                <w:rFonts w:ascii="仿宋_GB2312" w:hAnsi="宋体"/>
                <w:color w:val="000000"/>
                <w:kern w:val="0"/>
                <w:sz w:val="20"/>
                <w:szCs w:val="20"/>
              </w:rPr>
            </w:pPr>
            <w:r>
              <w:rPr>
                <w:rFonts w:hint="eastAsia" w:ascii="仿宋_GB2312" w:hAnsi="宋体"/>
                <w:color w:val="000000"/>
                <w:kern w:val="0"/>
                <w:sz w:val="20"/>
                <w:szCs w:val="20"/>
              </w:rPr>
              <w:t>合计(分)</w:t>
            </w:r>
          </w:p>
        </w:tc>
        <w:tc>
          <w:tcPr>
            <w:tcW w:w="9242" w:type="dxa"/>
            <w:gridSpan w:val="8"/>
            <w:tcBorders>
              <w:top w:val="single" w:color="auto" w:sz="4" w:space="0"/>
              <w:left w:val="nil"/>
              <w:bottom w:val="single" w:color="auto" w:sz="4" w:space="0"/>
              <w:right w:val="single" w:color="auto" w:sz="4" w:space="0"/>
            </w:tcBorders>
            <w:noWrap/>
            <w:vAlign w:val="center"/>
          </w:tcPr>
          <w:p>
            <w:pPr>
              <w:widowControl/>
              <w:jc w:val="center"/>
              <w:rPr>
                <w:rFonts w:ascii="宋体" w:hAnsi="宋体"/>
                <w:color w:val="000000"/>
                <w:kern w:val="0"/>
                <w:sz w:val="24"/>
              </w:rPr>
            </w:pPr>
            <w:r>
              <w:rPr>
                <w:rFonts w:hint="eastAsia" w:ascii="宋体" w:hAnsi="宋体"/>
                <w:color w:val="000000"/>
                <w:kern w:val="0"/>
                <w:sz w:val="24"/>
              </w:rPr>
              <w:t>98</w:t>
            </w:r>
          </w:p>
        </w:tc>
      </w:tr>
    </w:tbl>
    <w:p>
      <w:pPr>
        <w:spacing w:line="600" w:lineRule="exact"/>
        <w:rPr>
          <w:rFonts w:eastAsia="仿宋_GB2312"/>
          <w:sz w:val="32"/>
          <w:szCs w:val="32"/>
        </w:rPr>
      </w:pPr>
    </w:p>
    <w:p>
      <w:pPr>
        <w:spacing w:line="600" w:lineRule="exact"/>
        <w:rPr>
          <w:rFonts w:eastAsia="仿宋_GB2312"/>
          <w:sz w:val="32"/>
          <w:szCs w:val="32"/>
        </w:rPr>
      </w:pPr>
    </w:p>
    <w:p>
      <w:pPr>
        <w:jc w:val="center"/>
        <w:rPr>
          <w:rFonts w:hint="eastAsia" w:ascii="宋体" w:hAnsi="宋体"/>
          <w:b/>
          <w:bCs/>
          <w:sz w:val="44"/>
          <w:szCs w:val="44"/>
        </w:rPr>
      </w:pPr>
      <w:r>
        <w:rPr>
          <w:rFonts w:hint="eastAsia" w:ascii="宋体" w:hAnsi="宋体"/>
          <w:b/>
          <w:bCs/>
          <w:sz w:val="44"/>
          <w:szCs w:val="44"/>
          <w:lang w:eastAsia="zh-CN"/>
        </w:rPr>
        <w:t>二中事业发展</w:t>
      </w:r>
      <w:r>
        <w:rPr>
          <w:rFonts w:hint="eastAsia" w:ascii="宋体" w:hAnsi="宋体"/>
          <w:b/>
          <w:bCs/>
          <w:sz w:val="44"/>
          <w:szCs w:val="44"/>
        </w:rPr>
        <w:t>专项</w:t>
      </w:r>
    </w:p>
    <w:p>
      <w:pPr>
        <w:jc w:val="center"/>
        <w:rPr>
          <w:rFonts w:hint="eastAsia" w:ascii="宋体" w:hAnsi="宋体"/>
          <w:b/>
          <w:bCs/>
          <w:sz w:val="44"/>
          <w:szCs w:val="44"/>
        </w:rPr>
      </w:pPr>
      <w:r>
        <w:rPr>
          <w:rFonts w:hint="eastAsia" w:ascii="宋体" w:hAnsi="宋体" w:cs="Arial"/>
          <w:b/>
          <w:bCs/>
          <w:sz w:val="44"/>
          <w:szCs w:val="44"/>
        </w:rPr>
        <w:t>2023</w:t>
      </w:r>
      <w:r>
        <w:rPr>
          <w:rFonts w:hint="eastAsia" w:ascii="宋体" w:hAnsi="宋体"/>
          <w:b/>
          <w:bCs/>
          <w:sz w:val="44"/>
          <w:szCs w:val="44"/>
        </w:rPr>
        <w:t>年度绩效自评报告</w:t>
      </w:r>
    </w:p>
    <w:p>
      <w:pPr>
        <w:pStyle w:val="3"/>
        <w:numPr>
          <w:ilvl w:val="0"/>
          <w:numId w:val="2"/>
        </w:numPr>
        <w:bidi w:val="0"/>
        <w:rPr>
          <w:rFonts w:hint="default"/>
          <w:lang w:val="en-US" w:eastAsia="zh-CN"/>
        </w:rPr>
      </w:pPr>
      <w:r>
        <w:rPr>
          <w:rFonts w:hint="eastAsia"/>
          <w:lang w:val="en-US" w:eastAsia="zh-CN"/>
        </w:rPr>
        <w:t>项目概括</w:t>
      </w:r>
    </w:p>
    <w:p>
      <w:pPr>
        <w:rPr>
          <w:rFonts w:hint="default"/>
          <w:sz w:val="32"/>
          <w:szCs w:val="40"/>
          <w:lang w:val="en-US" w:eastAsia="zh-CN"/>
        </w:rPr>
      </w:pPr>
      <w:r>
        <w:rPr>
          <w:rFonts w:hint="eastAsia"/>
          <w:sz w:val="32"/>
          <w:szCs w:val="40"/>
          <w:lang w:val="en-US" w:eastAsia="zh-CN"/>
        </w:rPr>
        <w:t>（一）项目单位基本情况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jc w:val="left"/>
        <w:rPr>
          <w:rFonts w:hint="default" w:ascii="Helvetica" w:hAnsi="Helvetica" w:eastAsia="Helvetica" w:cs="Helvetica"/>
          <w:i w:val="0"/>
          <w:iCs w:val="0"/>
          <w:caps w:val="0"/>
          <w:color w:val="333333"/>
          <w:spacing w:val="0"/>
          <w:kern w:val="0"/>
          <w:sz w:val="28"/>
          <w:szCs w:val="28"/>
          <w:shd w:val="clear" w:fill="FFFFFF"/>
          <w:lang w:val="en-US" w:eastAsia="zh-CN" w:bidi="ar"/>
        </w:rPr>
      </w:pPr>
      <w:r>
        <w:rPr>
          <w:rFonts w:hint="default" w:ascii="Helvetica" w:hAnsi="Helvetica" w:eastAsia="Helvetica" w:cs="Helvetica"/>
          <w:i w:val="0"/>
          <w:iCs w:val="0"/>
          <w:caps w:val="0"/>
          <w:color w:val="333333"/>
          <w:spacing w:val="0"/>
          <w:kern w:val="0"/>
          <w:sz w:val="28"/>
          <w:szCs w:val="28"/>
          <w:shd w:val="clear" w:fill="FFFFFF"/>
          <w:lang w:val="en-US" w:eastAsia="zh-CN" w:bidi="ar"/>
        </w:rPr>
        <w:t>北宋天圣年间（公元1023——1032年），太常博士</w:t>
      </w:r>
      <w:r>
        <w:rPr>
          <w:rFonts w:hint="default" w:ascii="Helvetica" w:hAnsi="Helvetica" w:eastAsia="Helvetica" w:cs="Helvetica"/>
          <w:i w:val="0"/>
          <w:iCs w:val="0"/>
          <w:caps w:val="0"/>
          <w:color w:val="136EC2"/>
          <w:spacing w:val="0"/>
          <w:kern w:val="0"/>
          <w:sz w:val="28"/>
          <w:szCs w:val="28"/>
          <w:u w:val="none"/>
          <w:shd w:val="clear" w:fill="FFFFFF"/>
          <w:lang w:val="en-US" w:eastAsia="zh-CN" w:bidi="ar"/>
        </w:rPr>
        <w:fldChar w:fldCharType="begin"/>
      </w:r>
      <w:r>
        <w:rPr>
          <w:rFonts w:hint="default" w:ascii="Helvetica" w:hAnsi="Helvetica" w:eastAsia="Helvetica" w:cs="Helvetica"/>
          <w:i w:val="0"/>
          <w:iCs w:val="0"/>
          <w:caps w:val="0"/>
          <w:color w:val="136EC2"/>
          <w:spacing w:val="0"/>
          <w:kern w:val="0"/>
          <w:sz w:val="28"/>
          <w:szCs w:val="28"/>
          <w:u w:val="none"/>
          <w:shd w:val="clear" w:fill="FFFFFF"/>
          <w:lang w:val="en-US" w:eastAsia="zh-CN" w:bidi="ar"/>
        </w:rPr>
        <w:instrText xml:space="preserve"> HYPERLINK "https://baike.baidu.com/item/%E5%91%A8%E5%B0%A7%E5%8D%BF/0?fromModule=lemma_inlink" \t "https://baike.baidu.com/item/%E6%B1%9F%E6%B0%B8%E5%8E%BF%E7%AC%AC%E4%BA%8C%E4%B8%AD%E5%AD%A6/_blank" </w:instrText>
      </w:r>
      <w:r>
        <w:rPr>
          <w:rFonts w:hint="default" w:ascii="Helvetica" w:hAnsi="Helvetica" w:eastAsia="Helvetica" w:cs="Helvetica"/>
          <w:i w:val="0"/>
          <w:iCs w:val="0"/>
          <w:caps w:val="0"/>
          <w:color w:val="136EC2"/>
          <w:spacing w:val="0"/>
          <w:kern w:val="0"/>
          <w:sz w:val="28"/>
          <w:szCs w:val="28"/>
          <w:u w:val="none"/>
          <w:shd w:val="clear" w:fill="FFFFFF"/>
          <w:lang w:val="en-US" w:eastAsia="zh-CN" w:bidi="ar"/>
        </w:rPr>
        <w:fldChar w:fldCharType="separate"/>
      </w:r>
      <w:r>
        <w:rPr>
          <w:rStyle w:val="9"/>
          <w:rFonts w:hint="default" w:ascii="Helvetica" w:hAnsi="Helvetica" w:eastAsia="Helvetica" w:cs="Helvetica"/>
          <w:i w:val="0"/>
          <w:iCs w:val="0"/>
          <w:caps w:val="0"/>
          <w:color w:val="136EC2"/>
          <w:spacing w:val="0"/>
          <w:sz w:val="28"/>
          <w:szCs w:val="28"/>
          <w:u w:val="none"/>
          <w:shd w:val="clear" w:fill="FFFFFF"/>
        </w:rPr>
        <w:t>周尧卿</w:t>
      </w:r>
      <w:r>
        <w:rPr>
          <w:rFonts w:hint="default" w:ascii="Helvetica" w:hAnsi="Helvetica" w:eastAsia="Helvetica" w:cs="Helvetica"/>
          <w:i w:val="0"/>
          <w:iCs w:val="0"/>
          <w:caps w:val="0"/>
          <w:color w:val="136EC2"/>
          <w:spacing w:val="0"/>
          <w:kern w:val="0"/>
          <w:sz w:val="28"/>
          <w:szCs w:val="28"/>
          <w:u w:val="none"/>
          <w:shd w:val="clear" w:fill="FFFFFF"/>
          <w:lang w:val="en-US" w:eastAsia="zh-CN" w:bidi="ar"/>
        </w:rPr>
        <w:fldChar w:fldCharType="end"/>
      </w:r>
      <w:r>
        <w:rPr>
          <w:rFonts w:hint="default" w:ascii="Helvetica" w:hAnsi="Helvetica" w:eastAsia="Helvetica" w:cs="Helvetica"/>
          <w:i w:val="0"/>
          <w:iCs w:val="0"/>
          <w:caps w:val="0"/>
          <w:color w:val="333333"/>
          <w:spacing w:val="0"/>
          <w:kern w:val="0"/>
          <w:sz w:val="28"/>
          <w:szCs w:val="28"/>
          <w:shd w:val="clear" w:fill="FFFFFF"/>
          <w:lang w:val="en-US" w:eastAsia="zh-CN" w:bidi="ar"/>
        </w:rPr>
        <w:t>（今</w:t>
      </w:r>
      <w:r>
        <w:rPr>
          <w:rFonts w:hint="default" w:ascii="Helvetica" w:hAnsi="Helvetica" w:eastAsia="Helvetica" w:cs="Helvetica"/>
          <w:i w:val="0"/>
          <w:iCs w:val="0"/>
          <w:caps w:val="0"/>
          <w:color w:val="136EC2"/>
          <w:spacing w:val="0"/>
          <w:kern w:val="0"/>
          <w:sz w:val="28"/>
          <w:szCs w:val="28"/>
          <w:u w:val="none"/>
          <w:shd w:val="clear" w:fill="FFFFFF"/>
          <w:lang w:val="en-US" w:eastAsia="zh-CN" w:bidi="ar"/>
        </w:rPr>
        <w:fldChar w:fldCharType="begin"/>
      </w:r>
      <w:r>
        <w:rPr>
          <w:rFonts w:hint="default" w:ascii="Helvetica" w:hAnsi="Helvetica" w:eastAsia="Helvetica" w:cs="Helvetica"/>
          <w:i w:val="0"/>
          <w:iCs w:val="0"/>
          <w:caps w:val="0"/>
          <w:color w:val="136EC2"/>
          <w:spacing w:val="0"/>
          <w:kern w:val="0"/>
          <w:sz w:val="28"/>
          <w:szCs w:val="28"/>
          <w:u w:val="none"/>
          <w:shd w:val="clear" w:fill="FFFFFF"/>
          <w:lang w:val="en-US" w:eastAsia="zh-CN" w:bidi="ar"/>
        </w:rPr>
        <w:instrText xml:space="preserve"> HYPERLINK "https://baike.baidu.com/item/%E6%B1%9F%E6%B0%B8%E5%8E%BF/0?fromModule=lemma_inlink" \t "https://baike.baidu.com/item/%E6%B1%9F%E6%B0%B8%E5%8E%BF%E7%AC%AC%E4%BA%8C%E4%B8%AD%E5%AD%A6/_blank" </w:instrText>
      </w:r>
      <w:r>
        <w:rPr>
          <w:rFonts w:hint="default" w:ascii="Helvetica" w:hAnsi="Helvetica" w:eastAsia="Helvetica" w:cs="Helvetica"/>
          <w:i w:val="0"/>
          <w:iCs w:val="0"/>
          <w:caps w:val="0"/>
          <w:color w:val="136EC2"/>
          <w:spacing w:val="0"/>
          <w:kern w:val="0"/>
          <w:sz w:val="28"/>
          <w:szCs w:val="28"/>
          <w:u w:val="none"/>
          <w:shd w:val="clear" w:fill="FFFFFF"/>
          <w:lang w:val="en-US" w:eastAsia="zh-CN" w:bidi="ar"/>
        </w:rPr>
        <w:fldChar w:fldCharType="separate"/>
      </w:r>
      <w:r>
        <w:rPr>
          <w:rStyle w:val="9"/>
          <w:rFonts w:hint="default" w:ascii="Helvetica" w:hAnsi="Helvetica" w:eastAsia="Helvetica" w:cs="Helvetica"/>
          <w:i w:val="0"/>
          <w:iCs w:val="0"/>
          <w:caps w:val="0"/>
          <w:color w:val="136EC2"/>
          <w:spacing w:val="0"/>
          <w:sz w:val="28"/>
          <w:szCs w:val="28"/>
          <w:u w:val="none"/>
          <w:shd w:val="clear" w:fill="FFFFFF"/>
        </w:rPr>
        <w:t>江永县</w:t>
      </w:r>
      <w:r>
        <w:rPr>
          <w:rFonts w:hint="default" w:ascii="Helvetica" w:hAnsi="Helvetica" w:eastAsia="Helvetica" w:cs="Helvetica"/>
          <w:i w:val="0"/>
          <w:iCs w:val="0"/>
          <w:caps w:val="0"/>
          <w:color w:val="136EC2"/>
          <w:spacing w:val="0"/>
          <w:kern w:val="0"/>
          <w:sz w:val="28"/>
          <w:szCs w:val="28"/>
          <w:u w:val="none"/>
          <w:shd w:val="clear" w:fill="FFFFFF"/>
          <w:lang w:val="en-US" w:eastAsia="zh-CN" w:bidi="ar"/>
        </w:rPr>
        <w:fldChar w:fldCharType="end"/>
      </w:r>
      <w:r>
        <w:rPr>
          <w:rFonts w:hint="default" w:ascii="Helvetica" w:hAnsi="Helvetica" w:eastAsia="Helvetica" w:cs="Helvetica"/>
          <w:i w:val="0"/>
          <w:iCs w:val="0"/>
          <w:caps w:val="0"/>
          <w:color w:val="333333"/>
          <w:spacing w:val="0"/>
          <w:kern w:val="0"/>
          <w:sz w:val="28"/>
          <w:szCs w:val="28"/>
          <w:shd w:val="clear" w:fill="FFFFFF"/>
          <w:lang w:val="en-US" w:eastAsia="zh-CN" w:bidi="ar"/>
        </w:rPr>
        <w:t>粗石江镇人，周敦颐之堂叔）首倡募行捐资，扩建馆舍，桃川书馆改为“桃川书院”，一直沿袭到明清时期。清光绪末年，废科举，兴学堂， 改桃溪书院为“桃溪高等小学堂”。民国初，改名为“永明县桃溪高等小学校”，1937年改名“永明县第六高级小学”，1940年改名“桃川镇中心国民学校”。1950年改名“桃川完全小学”，1958年附设初中，改名“江永县桃川完小附中”。1960年正式成立江永县第二中学。1968年下期增招高中班，改名为“江永县第二完全中学”。1972年恢复为“江永县第二中学”，成为县直属中学。</w:t>
      </w:r>
    </w:p>
    <w:p>
      <w:pPr>
        <w:numPr>
          <w:ilvl w:val="0"/>
          <w:numId w:val="3"/>
        </w:numPr>
        <w:rPr>
          <w:rFonts w:hint="default"/>
          <w:sz w:val="32"/>
          <w:szCs w:val="40"/>
          <w:lang w:val="en-US" w:eastAsia="zh-CN"/>
        </w:rPr>
      </w:pPr>
      <w:r>
        <w:rPr>
          <w:rFonts w:hint="eastAsia"/>
          <w:sz w:val="32"/>
          <w:szCs w:val="40"/>
          <w:lang w:val="en-US" w:eastAsia="zh-CN"/>
        </w:rPr>
        <w:t>项目基本情况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jc w:val="left"/>
        <w:rPr>
          <w:rFonts w:hint="default" w:ascii="Helvetica" w:hAnsi="Helvetica" w:eastAsia="Helvetica" w:cs="Helvetica"/>
          <w:i w:val="0"/>
          <w:iCs w:val="0"/>
          <w:caps w:val="0"/>
          <w:color w:val="333333"/>
          <w:spacing w:val="0"/>
          <w:kern w:val="0"/>
          <w:sz w:val="28"/>
          <w:szCs w:val="28"/>
          <w:shd w:val="clear" w:fill="FFFFFF"/>
          <w:lang w:val="en-US" w:eastAsia="zh-CN" w:bidi="ar"/>
        </w:rPr>
      </w:pPr>
      <w:r>
        <w:rPr>
          <w:rFonts w:hint="eastAsia" w:ascii="Helvetica" w:hAnsi="Helvetica" w:eastAsia="Helvetica" w:cs="Helvetica"/>
          <w:i w:val="0"/>
          <w:iCs w:val="0"/>
          <w:caps w:val="0"/>
          <w:color w:val="333333"/>
          <w:spacing w:val="0"/>
          <w:kern w:val="0"/>
          <w:sz w:val="28"/>
          <w:szCs w:val="28"/>
          <w:shd w:val="clear" w:fill="FFFFFF"/>
          <w:lang w:val="en-US" w:eastAsia="zh-CN" w:bidi="ar"/>
        </w:rPr>
        <w:t>1.项目资金使用情况</w:t>
      </w:r>
    </w:p>
    <w:p>
      <w:pPr>
        <w:rPr>
          <w:rFonts w:hint="eastAsia"/>
          <w:sz w:val="28"/>
          <w:szCs w:val="28"/>
          <w:lang w:val="en-US" w:eastAsia="zh-CN"/>
        </w:rPr>
      </w:pPr>
      <w:r>
        <w:rPr>
          <w:rFonts w:hint="eastAsia"/>
          <w:sz w:val="28"/>
          <w:szCs w:val="28"/>
          <w:lang w:eastAsia="zh-CN"/>
        </w:rPr>
        <w:t>二中事业发展项目</w:t>
      </w:r>
      <w:r>
        <w:rPr>
          <w:rFonts w:hint="eastAsia"/>
          <w:sz w:val="28"/>
          <w:szCs w:val="28"/>
          <w:lang w:val="en-US" w:eastAsia="zh-CN"/>
        </w:rPr>
        <w:t>11万元</w:t>
      </w:r>
    </w:p>
    <w:p>
      <w:pPr>
        <w:numPr>
          <w:ilvl w:val="0"/>
          <w:numId w:val="2"/>
        </w:numPr>
        <w:ind w:left="0" w:leftChars="0" w:firstLine="0" w:firstLineChars="0"/>
        <w:rPr>
          <w:rFonts w:hint="eastAsia"/>
          <w:sz w:val="28"/>
          <w:szCs w:val="28"/>
          <w:lang w:val="en-US" w:eastAsia="zh-CN"/>
        </w:rPr>
      </w:pPr>
      <w:r>
        <w:rPr>
          <w:rFonts w:hint="eastAsia"/>
          <w:sz w:val="28"/>
          <w:szCs w:val="28"/>
          <w:lang w:val="en-US" w:eastAsia="zh-CN"/>
        </w:rPr>
        <w:t>执行情况</w:t>
      </w:r>
    </w:p>
    <w:p>
      <w:pPr>
        <w:numPr>
          <w:ilvl w:val="0"/>
          <w:numId w:val="0"/>
        </w:numPr>
        <w:ind w:leftChars="0"/>
        <w:rPr>
          <w:rFonts w:hint="eastAsia"/>
          <w:sz w:val="28"/>
          <w:szCs w:val="28"/>
          <w:lang w:val="en-US" w:eastAsia="zh-CN"/>
        </w:rPr>
      </w:pPr>
      <w:r>
        <w:rPr>
          <w:rFonts w:hint="eastAsia"/>
          <w:sz w:val="28"/>
          <w:szCs w:val="28"/>
          <w:lang w:val="en-US" w:eastAsia="zh-CN"/>
        </w:rPr>
        <w:t>2023年度江永县安排11万元用于学校</w:t>
      </w:r>
      <w:r>
        <w:rPr>
          <w:rFonts w:hint="eastAsia"/>
          <w:sz w:val="28"/>
          <w:szCs w:val="28"/>
          <w:lang w:eastAsia="zh-CN"/>
        </w:rPr>
        <w:t>事业发展</w:t>
      </w:r>
      <w:r>
        <w:rPr>
          <w:rFonts w:hint="eastAsia"/>
          <w:sz w:val="28"/>
          <w:szCs w:val="28"/>
          <w:lang w:val="en-US" w:eastAsia="zh-CN"/>
        </w:rPr>
        <w:t>支出。</w:t>
      </w:r>
    </w:p>
    <w:p>
      <w:pPr>
        <w:spacing w:line="600" w:lineRule="exact"/>
        <w:rPr>
          <w:rFonts w:hint="eastAsia" w:eastAsia="仿宋_GB2312"/>
          <w:sz w:val="32"/>
          <w:szCs w:val="32"/>
        </w:rPr>
      </w:pPr>
      <w:r>
        <w:rPr>
          <w:rFonts w:hint="eastAsia" w:eastAsia="仿宋_GB2312"/>
          <w:sz w:val="32"/>
          <w:szCs w:val="32"/>
        </w:rPr>
        <w:t>四、项目绩效情况</w:t>
      </w:r>
    </w:p>
    <w:p>
      <w:pPr>
        <w:spacing w:line="600" w:lineRule="exact"/>
        <w:rPr>
          <w:rFonts w:hint="eastAsia" w:eastAsia="仿宋_GB2312"/>
          <w:sz w:val="32"/>
          <w:szCs w:val="32"/>
        </w:rPr>
      </w:pPr>
      <w:r>
        <w:rPr>
          <w:rFonts w:hint="eastAsia" w:eastAsia="仿宋_GB2312"/>
          <w:sz w:val="32"/>
          <w:szCs w:val="32"/>
        </w:rPr>
        <w:t>1.项目经济性分析。2023年县财政安排的</w:t>
      </w:r>
      <w:r>
        <w:rPr>
          <w:rFonts w:hint="eastAsia"/>
          <w:sz w:val="28"/>
          <w:szCs w:val="28"/>
          <w:lang w:eastAsia="zh-CN"/>
        </w:rPr>
        <w:t>事业发展</w:t>
      </w:r>
      <w:r>
        <w:rPr>
          <w:rFonts w:hint="eastAsia" w:eastAsia="仿宋_GB2312"/>
          <w:sz w:val="32"/>
          <w:szCs w:val="32"/>
          <w:lang w:eastAsia="zh-CN"/>
        </w:rPr>
        <w:t>资金</w:t>
      </w:r>
      <w:r>
        <w:rPr>
          <w:rFonts w:hint="eastAsia" w:eastAsia="仿宋_GB2312"/>
          <w:sz w:val="32"/>
          <w:szCs w:val="32"/>
          <w:lang w:val="en-US" w:eastAsia="zh-CN"/>
        </w:rPr>
        <w:t>11</w:t>
      </w:r>
      <w:r>
        <w:rPr>
          <w:rFonts w:hint="eastAsia" w:eastAsia="仿宋_GB2312"/>
          <w:sz w:val="32"/>
          <w:szCs w:val="32"/>
        </w:rPr>
        <w:t xml:space="preserve">万元，本着“少花钱、多办事、办好事”的原则，项目总支出 </w:t>
      </w:r>
      <w:r>
        <w:rPr>
          <w:rFonts w:hint="eastAsia" w:eastAsia="仿宋_GB2312"/>
          <w:sz w:val="32"/>
          <w:szCs w:val="32"/>
          <w:lang w:val="en-US" w:eastAsia="zh-CN"/>
        </w:rPr>
        <w:t>11</w:t>
      </w:r>
      <w:r>
        <w:rPr>
          <w:rFonts w:hint="eastAsia" w:eastAsia="仿宋_GB2312"/>
          <w:sz w:val="32"/>
          <w:szCs w:val="32"/>
        </w:rPr>
        <w:t>万元，资金收支平衡。</w:t>
      </w:r>
    </w:p>
    <w:p>
      <w:pPr>
        <w:spacing w:line="600" w:lineRule="exact"/>
        <w:rPr>
          <w:rFonts w:hint="eastAsia" w:eastAsia="仿宋_GB2312"/>
          <w:sz w:val="32"/>
          <w:szCs w:val="32"/>
        </w:rPr>
      </w:pPr>
      <w:r>
        <w:rPr>
          <w:rFonts w:hint="eastAsia" w:eastAsia="仿宋_GB2312"/>
          <w:sz w:val="32"/>
          <w:szCs w:val="32"/>
        </w:rPr>
        <w:t>2.项目的效率性分析。根据县级</w:t>
      </w:r>
      <w:r>
        <w:rPr>
          <w:rFonts w:hint="eastAsia" w:eastAsia="仿宋_GB2312"/>
          <w:sz w:val="32"/>
          <w:szCs w:val="32"/>
          <w:lang w:eastAsia="zh-CN"/>
        </w:rPr>
        <w:t>校园</w:t>
      </w:r>
      <w:r>
        <w:rPr>
          <w:rFonts w:hint="eastAsia" w:eastAsia="仿宋_GB2312"/>
          <w:sz w:val="32"/>
          <w:szCs w:val="32"/>
        </w:rPr>
        <w:t>建设目标，及时组织项目的实施，及时支付给</w:t>
      </w:r>
      <w:r>
        <w:rPr>
          <w:rFonts w:hint="eastAsia" w:eastAsia="仿宋_GB2312"/>
          <w:sz w:val="32"/>
          <w:szCs w:val="32"/>
          <w:lang w:eastAsia="zh-CN"/>
        </w:rPr>
        <w:t>二中</w:t>
      </w:r>
      <w:r>
        <w:rPr>
          <w:rFonts w:hint="eastAsia" w:eastAsia="仿宋_GB2312"/>
          <w:sz w:val="32"/>
          <w:szCs w:val="32"/>
        </w:rPr>
        <w:t>。项目的实施完成率100%。</w:t>
      </w:r>
    </w:p>
    <w:p>
      <w:pPr>
        <w:spacing w:line="600" w:lineRule="exact"/>
        <w:rPr>
          <w:rFonts w:hint="eastAsia" w:eastAsia="仿宋_GB2312"/>
          <w:sz w:val="32"/>
          <w:szCs w:val="32"/>
        </w:rPr>
      </w:pPr>
      <w:r>
        <w:rPr>
          <w:rFonts w:hint="eastAsia" w:eastAsia="仿宋_GB2312"/>
          <w:sz w:val="32"/>
          <w:szCs w:val="32"/>
        </w:rPr>
        <w:t>3.项目的效益性分析。我</w:t>
      </w:r>
      <w:r>
        <w:rPr>
          <w:rFonts w:hint="eastAsia" w:eastAsia="仿宋_GB2312"/>
          <w:sz w:val="32"/>
          <w:szCs w:val="32"/>
          <w:lang w:eastAsia="zh-CN"/>
        </w:rPr>
        <w:t>校</w:t>
      </w:r>
      <w:r>
        <w:rPr>
          <w:rFonts w:hint="eastAsia" w:eastAsia="仿宋_GB2312"/>
          <w:sz w:val="32"/>
          <w:szCs w:val="32"/>
        </w:rPr>
        <w:t>及时组织了</w:t>
      </w:r>
      <w:r>
        <w:rPr>
          <w:rFonts w:hint="eastAsia" w:eastAsia="仿宋_GB2312"/>
          <w:sz w:val="32"/>
          <w:szCs w:val="32"/>
          <w:lang w:eastAsia="zh-CN"/>
        </w:rPr>
        <w:t>校园</w:t>
      </w:r>
      <w:r>
        <w:rPr>
          <w:rFonts w:hint="eastAsia" w:eastAsia="仿宋_GB2312"/>
          <w:sz w:val="32"/>
          <w:szCs w:val="32"/>
        </w:rPr>
        <w:t>建设工作，年度项目完工率100%,资金预算完成率100%.有力地促进了生态保护。</w:t>
      </w:r>
    </w:p>
    <w:p>
      <w:pPr>
        <w:spacing w:line="600" w:lineRule="exact"/>
        <w:rPr>
          <w:rFonts w:hint="eastAsia" w:eastAsia="仿宋_GB2312"/>
          <w:sz w:val="32"/>
          <w:szCs w:val="32"/>
        </w:rPr>
      </w:pPr>
      <w:r>
        <w:rPr>
          <w:rFonts w:hint="eastAsia" w:eastAsia="仿宋_GB2312"/>
          <w:sz w:val="32"/>
          <w:szCs w:val="32"/>
        </w:rPr>
        <w:t>五、其他需要说明的问题</w:t>
      </w:r>
    </w:p>
    <w:p>
      <w:pPr>
        <w:spacing w:line="600" w:lineRule="exact"/>
        <w:rPr>
          <w:rFonts w:hint="eastAsia" w:eastAsia="仿宋_GB2312"/>
          <w:sz w:val="32"/>
          <w:szCs w:val="32"/>
        </w:rPr>
      </w:pPr>
      <w:r>
        <w:rPr>
          <w:rFonts w:hint="eastAsia" w:eastAsia="仿宋_GB2312"/>
          <w:sz w:val="32"/>
          <w:szCs w:val="32"/>
        </w:rPr>
        <w:t>(一)后续工作计划</w:t>
      </w:r>
    </w:p>
    <w:p>
      <w:pPr>
        <w:spacing w:line="600" w:lineRule="exact"/>
        <w:rPr>
          <w:rFonts w:hint="eastAsia" w:eastAsia="仿宋_GB2312"/>
          <w:sz w:val="32"/>
          <w:szCs w:val="32"/>
        </w:rPr>
      </w:pPr>
      <w:r>
        <w:rPr>
          <w:rFonts w:hint="eastAsia" w:eastAsia="仿宋_GB2312"/>
          <w:sz w:val="32"/>
          <w:szCs w:val="32"/>
        </w:rPr>
        <w:t>一是优化资源配置，提升教育教学质量；</w:t>
      </w:r>
    </w:p>
    <w:p>
      <w:pPr>
        <w:spacing w:line="600" w:lineRule="exact"/>
        <w:rPr>
          <w:rFonts w:hint="eastAsia" w:eastAsia="仿宋_GB2312"/>
          <w:sz w:val="32"/>
          <w:szCs w:val="32"/>
        </w:rPr>
      </w:pPr>
      <w:r>
        <w:rPr>
          <w:rFonts w:hint="eastAsia" w:eastAsia="仿宋_GB2312"/>
          <w:sz w:val="32"/>
          <w:szCs w:val="32"/>
        </w:rPr>
        <w:t>二是加强内部管理，提高管理效能；</w:t>
      </w:r>
    </w:p>
    <w:p>
      <w:pPr>
        <w:spacing w:line="600" w:lineRule="exact"/>
        <w:rPr>
          <w:rFonts w:hint="eastAsia" w:eastAsia="仿宋_GB2312"/>
          <w:sz w:val="32"/>
          <w:szCs w:val="32"/>
        </w:rPr>
      </w:pPr>
      <w:r>
        <w:rPr>
          <w:rFonts w:hint="eastAsia" w:eastAsia="仿宋_GB2312"/>
          <w:sz w:val="32"/>
          <w:szCs w:val="32"/>
        </w:rPr>
        <w:t>三是推动创新发展，增强学校核心竞争力。</w:t>
      </w:r>
    </w:p>
    <w:p>
      <w:pPr>
        <w:spacing w:line="600" w:lineRule="exact"/>
        <w:rPr>
          <w:rFonts w:hint="eastAsia" w:eastAsia="仿宋_GB2312"/>
          <w:sz w:val="32"/>
          <w:szCs w:val="32"/>
        </w:rPr>
      </w:pPr>
      <w:r>
        <w:rPr>
          <w:rFonts w:hint="eastAsia" w:eastAsia="仿宋_GB2312"/>
          <w:sz w:val="32"/>
          <w:szCs w:val="32"/>
        </w:rPr>
        <w:t>(二)主要经验及做法、存在的问题和建议</w:t>
      </w:r>
    </w:p>
    <w:p>
      <w:pPr>
        <w:spacing w:line="600" w:lineRule="exact"/>
        <w:rPr>
          <w:rFonts w:hint="eastAsia" w:eastAsia="仿宋_GB2312"/>
          <w:sz w:val="32"/>
          <w:szCs w:val="32"/>
        </w:rPr>
      </w:pPr>
      <w:r>
        <w:rPr>
          <w:rFonts w:hint="eastAsia" w:eastAsia="仿宋_GB2312"/>
          <w:sz w:val="32"/>
          <w:szCs w:val="32"/>
        </w:rPr>
        <w:t>1.主要经验及做法</w:t>
      </w:r>
    </w:p>
    <w:p>
      <w:pPr>
        <w:spacing w:line="600" w:lineRule="exact"/>
        <w:rPr>
          <w:rFonts w:hint="eastAsia" w:eastAsia="仿宋_GB2312"/>
          <w:sz w:val="32"/>
          <w:szCs w:val="32"/>
          <w:lang w:val="en-US" w:eastAsia="zh-CN"/>
        </w:rPr>
      </w:pPr>
      <w:r>
        <w:rPr>
          <w:rFonts w:hint="eastAsia" w:eastAsia="仿宋_GB2312"/>
          <w:sz w:val="32"/>
          <w:szCs w:val="32"/>
        </w:rPr>
        <w:t>高位推动，强化组织领导，强化宣传，营造浓厚氛围</w:t>
      </w:r>
      <w:r>
        <w:rPr>
          <w:rFonts w:hint="eastAsia" w:eastAsia="仿宋_GB2312"/>
          <w:sz w:val="32"/>
          <w:szCs w:val="32"/>
          <w:lang w:eastAsia="zh-CN"/>
        </w:rPr>
        <w:t>。</w:t>
      </w:r>
    </w:p>
    <w:p>
      <w:pPr>
        <w:pStyle w:val="10"/>
        <w:spacing w:line="600" w:lineRule="exact"/>
        <w:ind w:left="0" w:leftChars="0" w:firstLine="0" w:firstLineChars="0"/>
        <w:rPr>
          <w:rFonts w:ascii="Times New Roman" w:hAnsi="Times New Roman" w:eastAsia="黑体"/>
          <w:sz w:val="32"/>
          <w:szCs w:val="32"/>
        </w:rPr>
      </w:pPr>
      <w:r>
        <w:rPr>
          <w:rFonts w:hint="eastAsia" w:ascii="Times New Roman" w:hAnsi="Times New Roman" w:eastAsia="黑体"/>
          <w:sz w:val="32"/>
          <w:szCs w:val="32"/>
          <w:lang w:val="en-US" w:eastAsia="zh-CN"/>
        </w:rPr>
        <w:t>2</w:t>
      </w:r>
      <w:r>
        <w:rPr>
          <w:rFonts w:ascii="Times New Roman" w:hAnsi="Times New Roman" w:eastAsia="黑体"/>
          <w:sz w:val="32"/>
          <w:szCs w:val="32"/>
        </w:rPr>
        <w:t>、存在的问题及原因分析</w:t>
      </w:r>
    </w:p>
    <w:p>
      <w:pPr>
        <w:spacing w:line="600" w:lineRule="exact"/>
        <w:ind w:firstLine="640" w:firstLineChars="200"/>
        <w:rPr>
          <w:rFonts w:eastAsia="仿宋_GB2312"/>
          <w:sz w:val="32"/>
          <w:szCs w:val="32"/>
        </w:rPr>
      </w:pPr>
      <w:r>
        <w:rPr>
          <w:rFonts w:hint="eastAsia" w:eastAsia="仿宋_GB2312"/>
          <w:sz w:val="32"/>
          <w:szCs w:val="32"/>
        </w:rPr>
        <w:t xml:space="preserve">1.预算编制工作有待细化。预算编制不够明确和细化，预算编制的合理性需要提高，预算执行力度还要进一步加强。 </w:t>
      </w:r>
    </w:p>
    <w:p>
      <w:pPr>
        <w:spacing w:line="600" w:lineRule="exact"/>
        <w:ind w:firstLine="640" w:firstLineChars="200"/>
        <w:rPr>
          <w:rFonts w:eastAsia="仿宋_GB2312"/>
          <w:sz w:val="32"/>
          <w:szCs w:val="32"/>
        </w:rPr>
      </w:pPr>
      <w:r>
        <w:rPr>
          <w:rFonts w:hint="eastAsia" w:eastAsia="仿宋_GB2312"/>
          <w:sz w:val="32"/>
          <w:szCs w:val="32"/>
        </w:rPr>
        <w:t>2.支出监控机制不完善，难以确保资金的有效利用。</w:t>
      </w:r>
    </w:p>
    <w:p>
      <w:pPr>
        <w:numPr>
          <w:ilvl w:val="0"/>
          <w:numId w:val="0"/>
        </w:numPr>
        <w:ind w:firstLine="640" w:firstLineChars="200"/>
        <w:rPr>
          <w:rFonts w:hint="eastAsia" w:eastAsia="仿宋_GB2312"/>
          <w:sz w:val="32"/>
          <w:szCs w:val="32"/>
        </w:rPr>
      </w:pPr>
      <w:r>
        <w:rPr>
          <w:rFonts w:hint="eastAsia" w:eastAsia="仿宋_GB2312"/>
          <w:sz w:val="32"/>
          <w:szCs w:val="32"/>
        </w:rPr>
        <w:t>3.相关人员对预算业务有待进一步加强。</w:t>
      </w:r>
    </w:p>
    <w:p>
      <w:pPr>
        <w:spacing w:line="580" w:lineRule="exact"/>
        <w:ind w:firstLine="643" w:firstLineChars="200"/>
        <w:rPr>
          <w:rFonts w:ascii="仿宋" w:hAnsi="仿宋" w:eastAsia="仿宋" w:cs="仿宋"/>
          <w:sz w:val="32"/>
          <w:szCs w:val="32"/>
        </w:rPr>
      </w:pPr>
      <w:r>
        <w:rPr>
          <w:rFonts w:hint="eastAsia" w:ascii="仿宋" w:hAnsi="仿宋" w:eastAsia="仿宋" w:cs="仿宋"/>
          <w:b/>
          <w:bCs/>
          <w:sz w:val="32"/>
          <w:szCs w:val="32"/>
        </w:rPr>
        <w:t>3、后续工作计划</w:t>
      </w:r>
    </w:p>
    <w:p>
      <w:pPr>
        <w:spacing w:line="580" w:lineRule="exact"/>
        <w:ind w:firstLine="640" w:firstLineChars="200"/>
        <w:rPr>
          <w:rFonts w:ascii="仿宋" w:hAnsi="仿宋" w:eastAsia="仿宋" w:cs="仿宋"/>
          <w:sz w:val="32"/>
          <w:szCs w:val="32"/>
        </w:rPr>
      </w:pPr>
      <w:r>
        <w:rPr>
          <w:rFonts w:hint="eastAsia" w:ascii="仿宋" w:hAnsi="仿宋" w:eastAsia="仿宋" w:cs="仿宋"/>
          <w:sz w:val="32"/>
          <w:szCs w:val="32"/>
        </w:rPr>
        <w:t>根据工作任务合理安排项目支出，提高财政资金使用效率。</w:t>
      </w:r>
    </w:p>
    <w:tbl>
      <w:tblPr>
        <w:tblStyle w:val="7"/>
        <w:tblW w:w="12009" w:type="dxa"/>
        <w:tblInd w:w="-117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530"/>
        <w:gridCol w:w="1155"/>
        <w:gridCol w:w="1335"/>
        <w:gridCol w:w="510"/>
        <w:gridCol w:w="1569"/>
        <w:gridCol w:w="1146"/>
        <w:gridCol w:w="1320"/>
        <w:gridCol w:w="1065"/>
        <w:gridCol w:w="840"/>
        <w:gridCol w:w="1224"/>
        <w:gridCol w:w="31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315" w:type="dxa"/>
          <w:trHeight w:val="580" w:hRule="atLeast"/>
        </w:trPr>
        <w:tc>
          <w:tcPr>
            <w:tcW w:w="11694" w:type="dxa"/>
            <w:gridSpan w:val="10"/>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项目支出绩效自评表</w:t>
            </w:r>
            <w:r>
              <w:rPr>
                <w:rFonts w:hint="eastAsia" w:ascii="宋体" w:hAnsi="宋体" w:eastAsia="宋体" w:cs="宋体"/>
                <w:b/>
                <w:bCs/>
                <w:i w:val="0"/>
                <w:iCs w:val="0"/>
                <w:color w:val="000000"/>
                <w:kern w:val="0"/>
                <w:sz w:val="24"/>
                <w:szCs w:val="24"/>
                <w:u w:val="none"/>
                <w:lang w:val="en-US" w:eastAsia="zh-CN" w:bidi="ar"/>
              </w:rPr>
              <w:br w:type="textWrapping"/>
            </w:r>
            <w:r>
              <w:rPr>
                <w:rFonts w:hint="eastAsia" w:ascii="宋体" w:hAnsi="宋体" w:eastAsia="宋体" w:cs="宋体"/>
                <w:b/>
                <w:bCs/>
                <w:i w:val="0"/>
                <w:iCs w:val="0"/>
                <w:color w:val="000000"/>
                <w:kern w:val="0"/>
                <w:sz w:val="24"/>
                <w:szCs w:val="24"/>
                <w:u w:val="none"/>
                <w:lang w:val="en-US" w:eastAsia="zh-CN" w:bidi="ar"/>
              </w:rPr>
              <w:t>（2023年度）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315" w:type="dxa"/>
          <w:trHeight w:val="285" w:hRule="atLeast"/>
        </w:trPr>
        <w:tc>
          <w:tcPr>
            <w:tcW w:w="1530"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项目支出名称</w:t>
            </w:r>
          </w:p>
        </w:tc>
        <w:tc>
          <w:tcPr>
            <w:tcW w:w="10164" w:type="dxa"/>
            <w:gridSpan w:val="9"/>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二中事业发展经费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315" w:type="dxa"/>
          <w:trHeight w:val="312" w:hRule="atLeast"/>
        </w:trPr>
        <w:tc>
          <w:tcPr>
            <w:tcW w:w="153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b/>
                <w:bCs/>
                <w:i w:val="0"/>
                <w:iCs w:val="0"/>
                <w:color w:val="000000"/>
                <w:sz w:val="20"/>
                <w:szCs w:val="20"/>
                <w:u w:val="none"/>
              </w:rPr>
            </w:pPr>
          </w:p>
        </w:tc>
        <w:tc>
          <w:tcPr>
            <w:tcW w:w="10164" w:type="dxa"/>
            <w:gridSpan w:val="9"/>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315" w:type="dxa"/>
          <w:trHeight w:val="560" w:hRule="atLeast"/>
        </w:trPr>
        <w:tc>
          <w:tcPr>
            <w:tcW w:w="153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主管部门</w:t>
            </w:r>
          </w:p>
        </w:tc>
        <w:tc>
          <w:tcPr>
            <w:tcW w:w="4569" w:type="dxa"/>
            <w:gridSpan w:val="4"/>
            <w:tcBorders>
              <w:top w:val="nil"/>
              <w:left w:val="single" w:color="000000" w:sz="8" w:space="0"/>
              <w:bottom w:val="single" w:color="000000" w:sz="8" w:space="0"/>
              <w:right w:val="nil"/>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c>
          <w:tcPr>
            <w:tcW w:w="1146"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实施单位</w:t>
            </w:r>
          </w:p>
        </w:tc>
        <w:tc>
          <w:tcPr>
            <w:tcW w:w="4449" w:type="dxa"/>
            <w:gridSpan w:val="4"/>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江永县第二中学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315" w:type="dxa"/>
          <w:trHeight w:val="560" w:hRule="atLeast"/>
        </w:trPr>
        <w:tc>
          <w:tcPr>
            <w:tcW w:w="1530"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项目资金(万元)</w:t>
            </w:r>
          </w:p>
        </w:tc>
        <w:tc>
          <w:tcPr>
            <w:tcW w:w="1155"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 xml:space="preserve">     资金来源</w:t>
            </w:r>
          </w:p>
        </w:tc>
        <w:tc>
          <w:tcPr>
            <w:tcW w:w="1845" w:type="dxa"/>
            <w:gridSpan w:val="2"/>
            <w:vMerge w:val="restart"/>
            <w:tcBorders>
              <w:top w:val="nil"/>
              <w:left w:val="single" w:color="000000" w:sz="8" w:space="0"/>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年初预算数</w:t>
            </w:r>
          </w:p>
        </w:tc>
        <w:tc>
          <w:tcPr>
            <w:tcW w:w="1569" w:type="dxa"/>
            <w:vMerge w:val="restart"/>
            <w:tcBorders>
              <w:top w:val="nil"/>
              <w:left w:val="single" w:color="000000" w:sz="8" w:space="0"/>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全年预算数</w:t>
            </w:r>
          </w:p>
        </w:tc>
        <w:tc>
          <w:tcPr>
            <w:tcW w:w="1146" w:type="dxa"/>
            <w:vMerge w:val="restart"/>
            <w:tcBorders>
              <w:top w:val="single" w:color="000000" w:sz="8" w:space="0"/>
              <w:left w:val="single" w:color="000000" w:sz="8" w:space="0"/>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全年执行数</w:t>
            </w:r>
          </w:p>
        </w:tc>
        <w:tc>
          <w:tcPr>
            <w:tcW w:w="1320"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分值</w:t>
            </w:r>
          </w:p>
        </w:tc>
        <w:tc>
          <w:tcPr>
            <w:tcW w:w="1065"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执行率</w:t>
            </w:r>
          </w:p>
        </w:tc>
        <w:tc>
          <w:tcPr>
            <w:tcW w:w="2064" w:type="dxa"/>
            <w:gridSpan w:val="2"/>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315" w:type="dxa"/>
          <w:trHeight w:val="560" w:hRule="atLeast"/>
        </w:trPr>
        <w:tc>
          <w:tcPr>
            <w:tcW w:w="153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c>
          <w:tcPr>
            <w:tcW w:w="1155"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b/>
                <w:bCs/>
                <w:i w:val="0"/>
                <w:iCs w:val="0"/>
                <w:color w:val="000000"/>
                <w:sz w:val="22"/>
                <w:szCs w:val="22"/>
                <w:u w:val="none"/>
              </w:rPr>
            </w:pPr>
          </w:p>
        </w:tc>
        <w:tc>
          <w:tcPr>
            <w:tcW w:w="1845" w:type="dxa"/>
            <w:gridSpan w:val="2"/>
            <w:vMerge w:val="continue"/>
            <w:tcBorders>
              <w:top w:val="nil"/>
              <w:left w:val="single" w:color="000000" w:sz="8" w:space="0"/>
              <w:bottom w:val="single" w:color="000000" w:sz="8" w:space="0"/>
              <w:right w:val="nil"/>
            </w:tcBorders>
            <w:shd w:val="clear" w:color="auto" w:fill="auto"/>
            <w:vAlign w:val="center"/>
          </w:tcPr>
          <w:p>
            <w:pPr>
              <w:jc w:val="center"/>
              <w:rPr>
                <w:rFonts w:hint="eastAsia" w:ascii="微软雅黑" w:hAnsi="微软雅黑" w:eastAsia="微软雅黑" w:cs="微软雅黑"/>
                <w:b/>
                <w:bCs/>
                <w:i w:val="0"/>
                <w:iCs w:val="0"/>
                <w:color w:val="000000"/>
                <w:sz w:val="22"/>
                <w:szCs w:val="22"/>
                <w:u w:val="none"/>
              </w:rPr>
            </w:pPr>
          </w:p>
        </w:tc>
        <w:tc>
          <w:tcPr>
            <w:tcW w:w="1569" w:type="dxa"/>
            <w:vMerge w:val="continue"/>
            <w:tcBorders>
              <w:top w:val="nil"/>
              <w:left w:val="single" w:color="000000" w:sz="8" w:space="0"/>
              <w:bottom w:val="single" w:color="000000" w:sz="8" w:space="0"/>
              <w:right w:val="nil"/>
            </w:tcBorders>
            <w:shd w:val="clear" w:color="auto" w:fill="auto"/>
            <w:vAlign w:val="center"/>
          </w:tcPr>
          <w:p>
            <w:pPr>
              <w:jc w:val="center"/>
              <w:rPr>
                <w:rFonts w:hint="eastAsia" w:ascii="微软雅黑" w:hAnsi="微软雅黑" w:eastAsia="微软雅黑" w:cs="微软雅黑"/>
                <w:b/>
                <w:bCs/>
                <w:i w:val="0"/>
                <w:iCs w:val="0"/>
                <w:color w:val="000000"/>
                <w:sz w:val="22"/>
                <w:szCs w:val="22"/>
                <w:u w:val="none"/>
              </w:rPr>
            </w:pPr>
          </w:p>
        </w:tc>
        <w:tc>
          <w:tcPr>
            <w:tcW w:w="1146" w:type="dxa"/>
            <w:vMerge w:val="continue"/>
            <w:tcBorders>
              <w:top w:val="single" w:color="000000" w:sz="8" w:space="0"/>
              <w:left w:val="single" w:color="000000" w:sz="8" w:space="0"/>
              <w:bottom w:val="single" w:color="000000" w:sz="8" w:space="0"/>
              <w:right w:val="nil"/>
            </w:tcBorders>
            <w:shd w:val="clear" w:color="auto" w:fill="auto"/>
            <w:vAlign w:val="center"/>
          </w:tcPr>
          <w:p>
            <w:pPr>
              <w:jc w:val="center"/>
              <w:rPr>
                <w:rFonts w:hint="eastAsia" w:ascii="微软雅黑" w:hAnsi="微软雅黑" w:eastAsia="微软雅黑" w:cs="微软雅黑"/>
                <w:b/>
                <w:bCs/>
                <w:i w:val="0"/>
                <w:iCs w:val="0"/>
                <w:color w:val="000000"/>
                <w:sz w:val="22"/>
                <w:szCs w:val="22"/>
                <w:u w:val="none"/>
              </w:rPr>
            </w:pPr>
          </w:p>
        </w:tc>
        <w:tc>
          <w:tcPr>
            <w:tcW w:w="132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b/>
                <w:bCs/>
                <w:i w:val="0"/>
                <w:iCs w:val="0"/>
                <w:color w:val="000000"/>
                <w:sz w:val="22"/>
                <w:szCs w:val="22"/>
                <w:u w:val="none"/>
              </w:rPr>
            </w:pPr>
          </w:p>
        </w:tc>
        <w:tc>
          <w:tcPr>
            <w:tcW w:w="1065"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b/>
                <w:bCs/>
                <w:i w:val="0"/>
                <w:iCs w:val="0"/>
                <w:color w:val="000000"/>
                <w:sz w:val="22"/>
                <w:szCs w:val="22"/>
                <w:u w:val="none"/>
              </w:rPr>
            </w:pPr>
          </w:p>
        </w:tc>
        <w:tc>
          <w:tcPr>
            <w:tcW w:w="2064" w:type="dxa"/>
            <w:gridSpan w:val="2"/>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b/>
                <w:bCs/>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315" w:type="dxa"/>
          <w:trHeight w:val="380" w:hRule="atLeast"/>
        </w:trPr>
        <w:tc>
          <w:tcPr>
            <w:tcW w:w="153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c>
          <w:tcPr>
            <w:tcW w:w="1155"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b/>
                <w:bCs/>
                <w:i w:val="0"/>
                <w:iCs w:val="0"/>
                <w:color w:val="000000"/>
                <w:sz w:val="22"/>
                <w:szCs w:val="22"/>
                <w:u w:val="none"/>
              </w:rPr>
            </w:pPr>
          </w:p>
        </w:tc>
        <w:tc>
          <w:tcPr>
            <w:tcW w:w="1845" w:type="dxa"/>
            <w:gridSpan w:val="2"/>
            <w:vMerge w:val="continue"/>
            <w:tcBorders>
              <w:top w:val="nil"/>
              <w:left w:val="single" w:color="000000" w:sz="8" w:space="0"/>
              <w:bottom w:val="single" w:color="000000" w:sz="8" w:space="0"/>
              <w:right w:val="nil"/>
            </w:tcBorders>
            <w:shd w:val="clear" w:color="auto" w:fill="auto"/>
            <w:vAlign w:val="center"/>
          </w:tcPr>
          <w:p>
            <w:pPr>
              <w:jc w:val="center"/>
              <w:rPr>
                <w:rFonts w:hint="eastAsia" w:ascii="微软雅黑" w:hAnsi="微软雅黑" w:eastAsia="微软雅黑" w:cs="微软雅黑"/>
                <w:b/>
                <w:bCs/>
                <w:i w:val="0"/>
                <w:iCs w:val="0"/>
                <w:color w:val="000000"/>
                <w:sz w:val="22"/>
                <w:szCs w:val="22"/>
                <w:u w:val="none"/>
              </w:rPr>
            </w:pPr>
          </w:p>
        </w:tc>
        <w:tc>
          <w:tcPr>
            <w:tcW w:w="1569" w:type="dxa"/>
            <w:vMerge w:val="continue"/>
            <w:tcBorders>
              <w:top w:val="nil"/>
              <w:left w:val="single" w:color="000000" w:sz="8" w:space="0"/>
              <w:bottom w:val="single" w:color="000000" w:sz="8" w:space="0"/>
              <w:right w:val="nil"/>
            </w:tcBorders>
            <w:shd w:val="clear" w:color="auto" w:fill="auto"/>
            <w:vAlign w:val="center"/>
          </w:tcPr>
          <w:p>
            <w:pPr>
              <w:jc w:val="center"/>
              <w:rPr>
                <w:rFonts w:hint="eastAsia" w:ascii="微软雅黑" w:hAnsi="微软雅黑" w:eastAsia="微软雅黑" w:cs="微软雅黑"/>
                <w:b/>
                <w:bCs/>
                <w:i w:val="0"/>
                <w:iCs w:val="0"/>
                <w:color w:val="000000"/>
                <w:sz w:val="22"/>
                <w:szCs w:val="22"/>
                <w:u w:val="none"/>
              </w:rPr>
            </w:pPr>
          </w:p>
        </w:tc>
        <w:tc>
          <w:tcPr>
            <w:tcW w:w="1146" w:type="dxa"/>
            <w:vMerge w:val="continue"/>
            <w:tcBorders>
              <w:top w:val="single" w:color="000000" w:sz="8" w:space="0"/>
              <w:left w:val="single" w:color="000000" w:sz="8" w:space="0"/>
              <w:bottom w:val="single" w:color="000000" w:sz="8" w:space="0"/>
              <w:right w:val="nil"/>
            </w:tcBorders>
            <w:shd w:val="clear" w:color="auto" w:fill="auto"/>
            <w:vAlign w:val="center"/>
          </w:tcPr>
          <w:p>
            <w:pPr>
              <w:jc w:val="center"/>
              <w:rPr>
                <w:rFonts w:hint="eastAsia" w:ascii="微软雅黑" w:hAnsi="微软雅黑" w:eastAsia="微软雅黑" w:cs="微软雅黑"/>
                <w:b/>
                <w:bCs/>
                <w:i w:val="0"/>
                <w:iCs w:val="0"/>
                <w:color w:val="000000"/>
                <w:sz w:val="22"/>
                <w:szCs w:val="22"/>
                <w:u w:val="none"/>
              </w:rPr>
            </w:pPr>
          </w:p>
        </w:tc>
        <w:tc>
          <w:tcPr>
            <w:tcW w:w="132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b/>
                <w:bCs/>
                <w:i w:val="0"/>
                <w:iCs w:val="0"/>
                <w:color w:val="000000"/>
                <w:sz w:val="22"/>
                <w:szCs w:val="22"/>
                <w:u w:val="none"/>
              </w:rPr>
            </w:pPr>
          </w:p>
        </w:tc>
        <w:tc>
          <w:tcPr>
            <w:tcW w:w="1065"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b/>
                <w:bCs/>
                <w:i w:val="0"/>
                <w:iCs w:val="0"/>
                <w:color w:val="000000"/>
                <w:sz w:val="22"/>
                <w:szCs w:val="22"/>
                <w:u w:val="none"/>
              </w:rPr>
            </w:pPr>
          </w:p>
        </w:tc>
        <w:tc>
          <w:tcPr>
            <w:tcW w:w="2064" w:type="dxa"/>
            <w:gridSpan w:val="2"/>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b/>
                <w:bCs/>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315" w:type="dxa"/>
          <w:trHeight w:val="1038" w:hRule="atLeast"/>
        </w:trPr>
        <w:tc>
          <w:tcPr>
            <w:tcW w:w="153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c>
          <w:tcPr>
            <w:tcW w:w="115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其中:当年财政拨款</w:t>
            </w:r>
          </w:p>
        </w:tc>
        <w:tc>
          <w:tcPr>
            <w:tcW w:w="1845" w:type="dxa"/>
            <w:gridSpan w:val="2"/>
            <w:tcBorders>
              <w:top w:val="nil"/>
              <w:left w:val="single" w:color="000000" w:sz="8" w:space="0"/>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w:t>
            </w:r>
          </w:p>
        </w:tc>
        <w:tc>
          <w:tcPr>
            <w:tcW w:w="1569" w:type="dxa"/>
            <w:tcBorders>
              <w:top w:val="nil"/>
              <w:left w:val="single" w:color="000000" w:sz="8" w:space="0"/>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11</w:t>
            </w:r>
          </w:p>
        </w:tc>
        <w:tc>
          <w:tcPr>
            <w:tcW w:w="1146" w:type="dxa"/>
            <w:tcBorders>
              <w:top w:val="nil"/>
              <w:left w:val="single" w:color="000000" w:sz="8" w:space="0"/>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11</w:t>
            </w:r>
          </w:p>
        </w:tc>
        <w:tc>
          <w:tcPr>
            <w:tcW w:w="132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1065" w:type="dxa"/>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c>
          <w:tcPr>
            <w:tcW w:w="2064"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315" w:type="dxa"/>
          <w:trHeight w:val="1023" w:hRule="atLeast"/>
        </w:trPr>
        <w:tc>
          <w:tcPr>
            <w:tcW w:w="153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c>
          <w:tcPr>
            <w:tcW w:w="115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上年结转金额</w:t>
            </w:r>
          </w:p>
        </w:tc>
        <w:tc>
          <w:tcPr>
            <w:tcW w:w="1845" w:type="dxa"/>
            <w:gridSpan w:val="2"/>
            <w:tcBorders>
              <w:top w:val="nil"/>
              <w:left w:val="single" w:color="000000" w:sz="8" w:space="0"/>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w:t>
            </w:r>
          </w:p>
        </w:tc>
        <w:tc>
          <w:tcPr>
            <w:tcW w:w="1569" w:type="dxa"/>
            <w:tcBorders>
              <w:top w:val="nil"/>
              <w:left w:val="single" w:color="000000" w:sz="8" w:space="0"/>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w:t>
            </w:r>
          </w:p>
        </w:tc>
        <w:tc>
          <w:tcPr>
            <w:tcW w:w="1146" w:type="dxa"/>
            <w:tcBorders>
              <w:top w:val="nil"/>
              <w:left w:val="single" w:color="000000" w:sz="8" w:space="0"/>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w:t>
            </w:r>
          </w:p>
        </w:tc>
        <w:tc>
          <w:tcPr>
            <w:tcW w:w="132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1065" w:type="dxa"/>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c>
          <w:tcPr>
            <w:tcW w:w="2064"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315" w:type="dxa"/>
          <w:trHeight w:val="560" w:hRule="atLeast"/>
        </w:trPr>
        <w:tc>
          <w:tcPr>
            <w:tcW w:w="153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c>
          <w:tcPr>
            <w:tcW w:w="115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其它资金</w:t>
            </w:r>
          </w:p>
        </w:tc>
        <w:tc>
          <w:tcPr>
            <w:tcW w:w="1845" w:type="dxa"/>
            <w:gridSpan w:val="2"/>
            <w:tcBorders>
              <w:top w:val="nil"/>
              <w:left w:val="single" w:color="000000" w:sz="8" w:space="0"/>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w:t>
            </w:r>
          </w:p>
        </w:tc>
        <w:tc>
          <w:tcPr>
            <w:tcW w:w="1569" w:type="dxa"/>
            <w:tcBorders>
              <w:top w:val="nil"/>
              <w:left w:val="single" w:color="000000" w:sz="8" w:space="0"/>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w:t>
            </w:r>
          </w:p>
        </w:tc>
        <w:tc>
          <w:tcPr>
            <w:tcW w:w="1146" w:type="dxa"/>
            <w:tcBorders>
              <w:top w:val="nil"/>
              <w:left w:val="single" w:color="000000" w:sz="8" w:space="0"/>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w:t>
            </w:r>
          </w:p>
        </w:tc>
        <w:tc>
          <w:tcPr>
            <w:tcW w:w="132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1065" w:type="dxa"/>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c>
          <w:tcPr>
            <w:tcW w:w="2064"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315" w:type="dxa"/>
          <w:trHeight w:val="560" w:hRule="atLeast"/>
        </w:trPr>
        <w:tc>
          <w:tcPr>
            <w:tcW w:w="153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c>
          <w:tcPr>
            <w:tcW w:w="115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年度资金总额</w:t>
            </w:r>
          </w:p>
        </w:tc>
        <w:tc>
          <w:tcPr>
            <w:tcW w:w="1845" w:type="dxa"/>
            <w:gridSpan w:val="2"/>
            <w:tcBorders>
              <w:top w:val="nil"/>
              <w:left w:val="single" w:color="000000" w:sz="8" w:space="0"/>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w:t>
            </w:r>
          </w:p>
        </w:tc>
        <w:tc>
          <w:tcPr>
            <w:tcW w:w="1569" w:type="dxa"/>
            <w:tcBorders>
              <w:top w:val="nil"/>
              <w:left w:val="single" w:color="000000" w:sz="8" w:space="0"/>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11</w:t>
            </w:r>
          </w:p>
        </w:tc>
        <w:tc>
          <w:tcPr>
            <w:tcW w:w="1146" w:type="dxa"/>
            <w:tcBorders>
              <w:top w:val="nil"/>
              <w:left w:val="single" w:color="000000" w:sz="8" w:space="0"/>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11</w:t>
            </w:r>
          </w:p>
        </w:tc>
        <w:tc>
          <w:tcPr>
            <w:tcW w:w="132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106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100.00%</w:t>
            </w:r>
          </w:p>
        </w:tc>
        <w:tc>
          <w:tcPr>
            <w:tcW w:w="2064"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315" w:type="dxa"/>
          <w:trHeight w:val="560" w:hRule="atLeast"/>
        </w:trPr>
        <w:tc>
          <w:tcPr>
            <w:tcW w:w="1530"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年度总体目标</w:t>
            </w:r>
          </w:p>
        </w:tc>
        <w:tc>
          <w:tcPr>
            <w:tcW w:w="4569" w:type="dxa"/>
            <w:gridSpan w:val="4"/>
            <w:tcBorders>
              <w:top w:val="nil"/>
              <w:left w:val="single" w:color="000000" w:sz="8" w:space="0"/>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预期目标</w:t>
            </w:r>
          </w:p>
        </w:tc>
        <w:tc>
          <w:tcPr>
            <w:tcW w:w="5595" w:type="dxa"/>
            <w:gridSpan w:val="5"/>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实际完成情况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315" w:type="dxa"/>
          <w:trHeight w:val="560" w:hRule="atLeast"/>
        </w:trPr>
        <w:tc>
          <w:tcPr>
            <w:tcW w:w="153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b/>
                <w:bCs/>
                <w:i w:val="0"/>
                <w:iCs w:val="0"/>
                <w:color w:val="000000"/>
                <w:sz w:val="20"/>
                <w:szCs w:val="20"/>
                <w:u w:val="none"/>
              </w:rPr>
            </w:pPr>
          </w:p>
        </w:tc>
        <w:tc>
          <w:tcPr>
            <w:tcW w:w="4569" w:type="dxa"/>
            <w:gridSpan w:val="4"/>
            <w:vMerge w:val="restart"/>
            <w:tcBorders>
              <w:top w:val="nil"/>
              <w:left w:val="single" w:color="000000" w:sz="8" w:space="0"/>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按照国家政策法规规定和本单位实际情况，建立健全财务基础管理制度和约束机制，依法有效地使用财政资金，提高财政资金使用效率。</w:t>
            </w:r>
          </w:p>
        </w:tc>
        <w:tc>
          <w:tcPr>
            <w:tcW w:w="5595" w:type="dxa"/>
            <w:gridSpan w:val="5"/>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全面完成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315" w:type="dxa"/>
          <w:trHeight w:val="560" w:hRule="atLeast"/>
        </w:trPr>
        <w:tc>
          <w:tcPr>
            <w:tcW w:w="153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b/>
                <w:bCs/>
                <w:i w:val="0"/>
                <w:iCs w:val="0"/>
                <w:color w:val="000000"/>
                <w:sz w:val="20"/>
                <w:szCs w:val="20"/>
                <w:u w:val="none"/>
              </w:rPr>
            </w:pPr>
          </w:p>
        </w:tc>
        <w:tc>
          <w:tcPr>
            <w:tcW w:w="4569" w:type="dxa"/>
            <w:gridSpan w:val="4"/>
            <w:vMerge w:val="continue"/>
            <w:tcBorders>
              <w:top w:val="nil"/>
              <w:left w:val="single" w:color="000000" w:sz="8" w:space="0"/>
              <w:bottom w:val="single" w:color="000000" w:sz="8" w:space="0"/>
              <w:right w:val="nil"/>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c>
          <w:tcPr>
            <w:tcW w:w="5595" w:type="dxa"/>
            <w:gridSpan w:val="5"/>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315" w:type="dxa"/>
          <w:trHeight w:val="532" w:hRule="atLeast"/>
        </w:trPr>
        <w:tc>
          <w:tcPr>
            <w:tcW w:w="153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b/>
                <w:bCs/>
                <w:i w:val="0"/>
                <w:iCs w:val="0"/>
                <w:color w:val="000000"/>
                <w:sz w:val="20"/>
                <w:szCs w:val="20"/>
                <w:u w:val="none"/>
              </w:rPr>
            </w:pPr>
          </w:p>
        </w:tc>
        <w:tc>
          <w:tcPr>
            <w:tcW w:w="4569" w:type="dxa"/>
            <w:gridSpan w:val="4"/>
            <w:vMerge w:val="continue"/>
            <w:tcBorders>
              <w:top w:val="nil"/>
              <w:left w:val="single" w:color="000000" w:sz="8" w:space="0"/>
              <w:bottom w:val="single" w:color="000000" w:sz="8" w:space="0"/>
              <w:right w:val="nil"/>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c>
          <w:tcPr>
            <w:tcW w:w="5595" w:type="dxa"/>
            <w:gridSpan w:val="5"/>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1530"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绩效指标</w:t>
            </w:r>
          </w:p>
        </w:tc>
        <w:tc>
          <w:tcPr>
            <w:tcW w:w="1155"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一级指标</w:t>
            </w:r>
          </w:p>
        </w:tc>
        <w:tc>
          <w:tcPr>
            <w:tcW w:w="1335"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二级指标</w:t>
            </w:r>
          </w:p>
        </w:tc>
        <w:tc>
          <w:tcPr>
            <w:tcW w:w="2079" w:type="dxa"/>
            <w:gridSpan w:val="2"/>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三级指标</w:t>
            </w:r>
          </w:p>
        </w:tc>
        <w:tc>
          <w:tcPr>
            <w:tcW w:w="1146" w:type="dxa"/>
            <w:vMerge w:val="restart"/>
            <w:tcBorders>
              <w:top w:val="nil"/>
              <w:left w:val="nil"/>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年度指标值</w:t>
            </w:r>
          </w:p>
        </w:tc>
        <w:tc>
          <w:tcPr>
            <w:tcW w:w="1320" w:type="dxa"/>
            <w:vMerge w:val="restart"/>
            <w:tcBorders>
              <w:top w:val="nil"/>
              <w:left w:val="single" w:color="000000" w:sz="8" w:space="0"/>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实际完成值</w:t>
            </w:r>
          </w:p>
        </w:tc>
        <w:tc>
          <w:tcPr>
            <w:tcW w:w="1065"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分值</w:t>
            </w:r>
          </w:p>
        </w:tc>
        <w:tc>
          <w:tcPr>
            <w:tcW w:w="840"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得分</w:t>
            </w:r>
          </w:p>
        </w:tc>
        <w:tc>
          <w:tcPr>
            <w:tcW w:w="1539" w:type="dxa"/>
            <w:gridSpan w:val="2"/>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153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2"/>
                <w:szCs w:val="22"/>
                <w:u w:val="none"/>
              </w:rPr>
            </w:pPr>
          </w:p>
        </w:tc>
        <w:tc>
          <w:tcPr>
            <w:tcW w:w="1155"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b/>
                <w:bCs/>
                <w:i w:val="0"/>
                <w:iCs w:val="0"/>
                <w:color w:val="000000"/>
                <w:sz w:val="22"/>
                <w:szCs w:val="22"/>
                <w:u w:val="none"/>
              </w:rPr>
            </w:pPr>
          </w:p>
        </w:tc>
        <w:tc>
          <w:tcPr>
            <w:tcW w:w="1335"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b/>
                <w:bCs/>
                <w:i w:val="0"/>
                <w:iCs w:val="0"/>
                <w:color w:val="000000"/>
                <w:sz w:val="22"/>
                <w:szCs w:val="22"/>
                <w:u w:val="none"/>
              </w:rPr>
            </w:pPr>
          </w:p>
        </w:tc>
        <w:tc>
          <w:tcPr>
            <w:tcW w:w="2079" w:type="dxa"/>
            <w:gridSpan w:val="2"/>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b/>
                <w:bCs/>
                <w:i w:val="0"/>
                <w:iCs w:val="0"/>
                <w:color w:val="000000"/>
                <w:sz w:val="22"/>
                <w:szCs w:val="22"/>
                <w:u w:val="none"/>
              </w:rPr>
            </w:pPr>
          </w:p>
        </w:tc>
        <w:tc>
          <w:tcPr>
            <w:tcW w:w="1146" w:type="dxa"/>
            <w:vMerge w:val="continue"/>
            <w:tcBorders>
              <w:top w:val="nil"/>
              <w:left w:val="nil"/>
              <w:bottom w:val="single" w:color="000000" w:sz="8" w:space="0"/>
              <w:right w:val="nil"/>
            </w:tcBorders>
            <w:shd w:val="clear" w:color="auto" w:fill="auto"/>
            <w:vAlign w:val="center"/>
          </w:tcPr>
          <w:p>
            <w:pPr>
              <w:jc w:val="center"/>
              <w:rPr>
                <w:rFonts w:hint="eastAsia" w:ascii="微软雅黑" w:hAnsi="微软雅黑" w:eastAsia="微软雅黑" w:cs="微软雅黑"/>
                <w:b/>
                <w:bCs/>
                <w:i w:val="0"/>
                <w:iCs w:val="0"/>
                <w:color w:val="000000"/>
                <w:sz w:val="22"/>
                <w:szCs w:val="22"/>
                <w:u w:val="none"/>
              </w:rPr>
            </w:pPr>
          </w:p>
        </w:tc>
        <w:tc>
          <w:tcPr>
            <w:tcW w:w="1320" w:type="dxa"/>
            <w:vMerge w:val="continue"/>
            <w:tcBorders>
              <w:top w:val="nil"/>
              <w:left w:val="single" w:color="000000" w:sz="8" w:space="0"/>
              <w:bottom w:val="single" w:color="000000" w:sz="8" w:space="0"/>
              <w:right w:val="nil"/>
            </w:tcBorders>
            <w:shd w:val="clear" w:color="auto" w:fill="auto"/>
            <w:vAlign w:val="center"/>
          </w:tcPr>
          <w:p>
            <w:pPr>
              <w:jc w:val="center"/>
              <w:rPr>
                <w:rFonts w:hint="eastAsia" w:ascii="微软雅黑" w:hAnsi="微软雅黑" w:eastAsia="微软雅黑" w:cs="微软雅黑"/>
                <w:b/>
                <w:bCs/>
                <w:i w:val="0"/>
                <w:iCs w:val="0"/>
                <w:color w:val="000000"/>
                <w:sz w:val="22"/>
                <w:szCs w:val="22"/>
                <w:u w:val="none"/>
              </w:rPr>
            </w:pPr>
          </w:p>
        </w:tc>
        <w:tc>
          <w:tcPr>
            <w:tcW w:w="1065"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b/>
                <w:bCs/>
                <w:i w:val="0"/>
                <w:iCs w:val="0"/>
                <w:color w:val="000000"/>
                <w:sz w:val="22"/>
                <w:szCs w:val="22"/>
                <w:u w:val="none"/>
              </w:rPr>
            </w:pPr>
          </w:p>
        </w:tc>
        <w:tc>
          <w:tcPr>
            <w:tcW w:w="84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b/>
                <w:bCs/>
                <w:i w:val="0"/>
                <w:iCs w:val="0"/>
                <w:color w:val="000000"/>
                <w:sz w:val="22"/>
                <w:szCs w:val="22"/>
                <w:u w:val="none"/>
              </w:rPr>
            </w:pPr>
          </w:p>
        </w:tc>
        <w:tc>
          <w:tcPr>
            <w:tcW w:w="1539" w:type="dxa"/>
            <w:gridSpan w:val="2"/>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b/>
                <w:bCs/>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153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2"/>
                <w:szCs w:val="22"/>
                <w:u w:val="none"/>
              </w:rPr>
            </w:pPr>
          </w:p>
        </w:tc>
        <w:tc>
          <w:tcPr>
            <w:tcW w:w="1155"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b/>
                <w:bCs/>
                <w:i w:val="0"/>
                <w:iCs w:val="0"/>
                <w:color w:val="000000"/>
                <w:sz w:val="22"/>
                <w:szCs w:val="22"/>
                <w:u w:val="none"/>
              </w:rPr>
            </w:pPr>
          </w:p>
        </w:tc>
        <w:tc>
          <w:tcPr>
            <w:tcW w:w="1335"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b/>
                <w:bCs/>
                <w:i w:val="0"/>
                <w:iCs w:val="0"/>
                <w:color w:val="000000"/>
                <w:sz w:val="22"/>
                <w:szCs w:val="22"/>
                <w:u w:val="none"/>
              </w:rPr>
            </w:pPr>
          </w:p>
        </w:tc>
        <w:tc>
          <w:tcPr>
            <w:tcW w:w="2079" w:type="dxa"/>
            <w:gridSpan w:val="2"/>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b/>
                <w:bCs/>
                <w:i w:val="0"/>
                <w:iCs w:val="0"/>
                <w:color w:val="000000"/>
                <w:sz w:val="22"/>
                <w:szCs w:val="22"/>
                <w:u w:val="none"/>
              </w:rPr>
            </w:pPr>
          </w:p>
        </w:tc>
        <w:tc>
          <w:tcPr>
            <w:tcW w:w="1146" w:type="dxa"/>
            <w:vMerge w:val="continue"/>
            <w:tcBorders>
              <w:top w:val="nil"/>
              <w:left w:val="nil"/>
              <w:bottom w:val="single" w:color="000000" w:sz="8" w:space="0"/>
              <w:right w:val="nil"/>
            </w:tcBorders>
            <w:shd w:val="clear" w:color="auto" w:fill="auto"/>
            <w:vAlign w:val="center"/>
          </w:tcPr>
          <w:p>
            <w:pPr>
              <w:jc w:val="center"/>
              <w:rPr>
                <w:rFonts w:hint="eastAsia" w:ascii="微软雅黑" w:hAnsi="微软雅黑" w:eastAsia="微软雅黑" w:cs="微软雅黑"/>
                <w:b/>
                <w:bCs/>
                <w:i w:val="0"/>
                <w:iCs w:val="0"/>
                <w:color w:val="000000"/>
                <w:sz w:val="22"/>
                <w:szCs w:val="22"/>
                <w:u w:val="none"/>
              </w:rPr>
            </w:pPr>
          </w:p>
        </w:tc>
        <w:tc>
          <w:tcPr>
            <w:tcW w:w="1320" w:type="dxa"/>
            <w:vMerge w:val="continue"/>
            <w:tcBorders>
              <w:top w:val="nil"/>
              <w:left w:val="single" w:color="000000" w:sz="8" w:space="0"/>
              <w:bottom w:val="single" w:color="000000" w:sz="8" w:space="0"/>
              <w:right w:val="nil"/>
            </w:tcBorders>
            <w:shd w:val="clear" w:color="auto" w:fill="auto"/>
            <w:vAlign w:val="center"/>
          </w:tcPr>
          <w:p>
            <w:pPr>
              <w:jc w:val="center"/>
              <w:rPr>
                <w:rFonts w:hint="eastAsia" w:ascii="微软雅黑" w:hAnsi="微软雅黑" w:eastAsia="微软雅黑" w:cs="微软雅黑"/>
                <w:b/>
                <w:bCs/>
                <w:i w:val="0"/>
                <w:iCs w:val="0"/>
                <w:color w:val="000000"/>
                <w:sz w:val="22"/>
                <w:szCs w:val="22"/>
                <w:u w:val="none"/>
              </w:rPr>
            </w:pPr>
          </w:p>
        </w:tc>
        <w:tc>
          <w:tcPr>
            <w:tcW w:w="1065"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b/>
                <w:bCs/>
                <w:i w:val="0"/>
                <w:iCs w:val="0"/>
                <w:color w:val="000000"/>
                <w:sz w:val="22"/>
                <w:szCs w:val="22"/>
                <w:u w:val="none"/>
              </w:rPr>
            </w:pPr>
          </w:p>
        </w:tc>
        <w:tc>
          <w:tcPr>
            <w:tcW w:w="84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b/>
                <w:bCs/>
                <w:i w:val="0"/>
                <w:iCs w:val="0"/>
                <w:color w:val="000000"/>
                <w:sz w:val="22"/>
                <w:szCs w:val="22"/>
                <w:u w:val="none"/>
              </w:rPr>
            </w:pPr>
          </w:p>
        </w:tc>
        <w:tc>
          <w:tcPr>
            <w:tcW w:w="1539" w:type="dxa"/>
            <w:gridSpan w:val="2"/>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b/>
                <w:bCs/>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153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2"/>
                <w:szCs w:val="22"/>
                <w:u w:val="none"/>
              </w:rPr>
            </w:pPr>
          </w:p>
        </w:tc>
        <w:tc>
          <w:tcPr>
            <w:tcW w:w="1155"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产出指标</w:t>
            </w:r>
          </w:p>
        </w:tc>
        <w:tc>
          <w:tcPr>
            <w:tcW w:w="1335"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数量指标</w:t>
            </w:r>
          </w:p>
        </w:tc>
        <w:tc>
          <w:tcPr>
            <w:tcW w:w="2079"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教师培训次数</w:t>
            </w:r>
          </w:p>
        </w:tc>
        <w:tc>
          <w:tcPr>
            <w:tcW w:w="1146" w:type="dxa"/>
            <w:tcBorders>
              <w:top w:val="nil"/>
              <w:left w:val="nil"/>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10次</w:t>
            </w:r>
          </w:p>
        </w:tc>
        <w:tc>
          <w:tcPr>
            <w:tcW w:w="1320" w:type="dxa"/>
            <w:tcBorders>
              <w:top w:val="nil"/>
              <w:left w:val="single" w:color="000000" w:sz="8" w:space="0"/>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10次</w:t>
            </w:r>
          </w:p>
        </w:tc>
        <w:tc>
          <w:tcPr>
            <w:tcW w:w="106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84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10.00</w:t>
            </w:r>
          </w:p>
        </w:tc>
        <w:tc>
          <w:tcPr>
            <w:tcW w:w="1539" w:type="dxa"/>
            <w:gridSpan w:val="2"/>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153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2"/>
                <w:szCs w:val="22"/>
                <w:u w:val="none"/>
              </w:rPr>
            </w:pPr>
          </w:p>
        </w:tc>
        <w:tc>
          <w:tcPr>
            <w:tcW w:w="1155"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c>
          <w:tcPr>
            <w:tcW w:w="1335"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c>
          <w:tcPr>
            <w:tcW w:w="2079"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考核人数</w:t>
            </w:r>
          </w:p>
        </w:tc>
        <w:tc>
          <w:tcPr>
            <w:tcW w:w="1146" w:type="dxa"/>
            <w:tcBorders>
              <w:top w:val="nil"/>
              <w:left w:val="nil"/>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174人</w:t>
            </w:r>
          </w:p>
        </w:tc>
        <w:tc>
          <w:tcPr>
            <w:tcW w:w="1320" w:type="dxa"/>
            <w:tcBorders>
              <w:top w:val="nil"/>
              <w:left w:val="single" w:color="000000" w:sz="8" w:space="0"/>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174人</w:t>
            </w:r>
          </w:p>
        </w:tc>
        <w:tc>
          <w:tcPr>
            <w:tcW w:w="106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84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10.00</w:t>
            </w:r>
          </w:p>
        </w:tc>
        <w:tc>
          <w:tcPr>
            <w:tcW w:w="1539" w:type="dxa"/>
            <w:gridSpan w:val="2"/>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153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2"/>
                <w:szCs w:val="22"/>
                <w:u w:val="none"/>
              </w:rPr>
            </w:pPr>
          </w:p>
        </w:tc>
        <w:tc>
          <w:tcPr>
            <w:tcW w:w="1155"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c>
          <w:tcPr>
            <w:tcW w:w="1335"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质量指标</w:t>
            </w:r>
          </w:p>
        </w:tc>
        <w:tc>
          <w:tcPr>
            <w:tcW w:w="2079"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教师培训完成率</w:t>
            </w:r>
          </w:p>
        </w:tc>
        <w:tc>
          <w:tcPr>
            <w:tcW w:w="1146" w:type="dxa"/>
            <w:tcBorders>
              <w:top w:val="nil"/>
              <w:left w:val="nil"/>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w:t>
            </w:r>
          </w:p>
        </w:tc>
        <w:tc>
          <w:tcPr>
            <w:tcW w:w="1320" w:type="dxa"/>
            <w:tcBorders>
              <w:top w:val="nil"/>
              <w:left w:val="single" w:color="000000" w:sz="8" w:space="0"/>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w:t>
            </w:r>
          </w:p>
        </w:tc>
        <w:tc>
          <w:tcPr>
            <w:tcW w:w="106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8</w:t>
            </w:r>
          </w:p>
        </w:tc>
        <w:tc>
          <w:tcPr>
            <w:tcW w:w="84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8.00</w:t>
            </w:r>
          </w:p>
        </w:tc>
        <w:tc>
          <w:tcPr>
            <w:tcW w:w="1539" w:type="dxa"/>
            <w:gridSpan w:val="2"/>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153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2"/>
                <w:szCs w:val="22"/>
                <w:u w:val="none"/>
              </w:rPr>
            </w:pPr>
          </w:p>
        </w:tc>
        <w:tc>
          <w:tcPr>
            <w:tcW w:w="1155"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c>
          <w:tcPr>
            <w:tcW w:w="1335"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c>
          <w:tcPr>
            <w:tcW w:w="2079"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校园系统完成率</w:t>
            </w:r>
          </w:p>
        </w:tc>
        <w:tc>
          <w:tcPr>
            <w:tcW w:w="1146" w:type="dxa"/>
            <w:tcBorders>
              <w:top w:val="nil"/>
              <w:left w:val="nil"/>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w:t>
            </w:r>
          </w:p>
        </w:tc>
        <w:tc>
          <w:tcPr>
            <w:tcW w:w="1320" w:type="dxa"/>
            <w:tcBorders>
              <w:top w:val="nil"/>
              <w:left w:val="single" w:color="000000" w:sz="8" w:space="0"/>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w:t>
            </w:r>
          </w:p>
        </w:tc>
        <w:tc>
          <w:tcPr>
            <w:tcW w:w="106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7</w:t>
            </w:r>
          </w:p>
        </w:tc>
        <w:tc>
          <w:tcPr>
            <w:tcW w:w="84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7.00</w:t>
            </w:r>
          </w:p>
        </w:tc>
        <w:tc>
          <w:tcPr>
            <w:tcW w:w="1539" w:type="dxa"/>
            <w:gridSpan w:val="2"/>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153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2"/>
                <w:szCs w:val="22"/>
                <w:u w:val="none"/>
              </w:rPr>
            </w:pPr>
          </w:p>
        </w:tc>
        <w:tc>
          <w:tcPr>
            <w:tcW w:w="1155"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c>
          <w:tcPr>
            <w:tcW w:w="133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时效指标</w:t>
            </w:r>
          </w:p>
        </w:tc>
        <w:tc>
          <w:tcPr>
            <w:tcW w:w="2079"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完成时间</w:t>
            </w:r>
          </w:p>
        </w:tc>
        <w:tc>
          <w:tcPr>
            <w:tcW w:w="1146" w:type="dxa"/>
            <w:tcBorders>
              <w:top w:val="nil"/>
              <w:left w:val="nil"/>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2023年内完成</w:t>
            </w:r>
          </w:p>
        </w:tc>
        <w:tc>
          <w:tcPr>
            <w:tcW w:w="1320" w:type="dxa"/>
            <w:tcBorders>
              <w:top w:val="nil"/>
              <w:left w:val="single" w:color="000000" w:sz="8" w:space="0"/>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2023年内完成</w:t>
            </w:r>
          </w:p>
        </w:tc>
        <w:tc>
          <w:tcPr>
            <w:tcW w:w="106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w:t>
            </w:r>
          </w:p>
        </w:tc>
        <w:tc>
          <w:tcPr>
            <w:tcW w:w="84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5.00</w:t>
            </w:r>
          </w:p>
        </w:tc>
        <w:tc>
          <w:tcPr>
            <w:tcW w:w="1539" w:type="dxa"/>
            <w:gridSpan w:val="2"/>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153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2"/>
                <w:szCs w:val="22"/>
                <w:u w:val="none"/>
              </w:rPr>
            </w:pPr>
          </w:p>
        </w:tc>
        <w:tc>
          <w:tcPr>
            <w:tcW w:w="1155"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效益指标</w:t>
            </w:r>
          </w:p>
        </w:tc>
        <w:tc>
          <w:tcPr>
            <w:tcW w:w="133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经济效益指标</w:t>
            </w:r>
          </w:p>
        </w:tc>
        <w:tc>
          <w:tcPr>
            <w:tcW w:w="2079"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提高教师队伍生活质量</w:t>
            </w:r>
          </w:p>
        </w:tc>
        <w:tc>
          <w:tcPr>
            <w:tcW w:w="1146" w:type="dxa"/>
            <w:tcBorders>
              <w:top w:val="nil"/>
              <w:left w:val="nil"/>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提高教师队伍生活质量</w:t>
            </w:r>
          </w:p>
        </w:tc>
        <w:tc>
          <w:tcPr>
            <w:tcW w:w="1320" w:type="dxa"/>
            <w:tcBorders>
              <w:top w:val="nil"/>
              <w:left w:val="single" w:color="000000" w:sz="8" w:space="0"/>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提高教师队伍生活质量</w:t>
            </w:r>
          </w:p>
        </w:tc>
        <w:tc>
          <w:tcPr>
            <w:tcW w:w="106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84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10.00</w:t>
            </w:r>
          </w:p>
        </w:tc>
        <w:tc>
          <w:tcPr>
            <w:tcW w:w="1539" w:type="dxa"/>
            <w:gridSpan w:val="2"/>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153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2"/>
                <w:szCs w:val="22"/>
                <w:u w:val="none"/>
              </w:rPr>
            </w:pPr>
          </w:p>
        </w:tc>
        <w:tc>
          <w:tcPr>
            <w:tcW w:w="1155"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c>
          <w:tcPr>
            <w:tcW w:w="133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社会效益指标</w:t>
            </w:r>
          </w:p>
        </w:tc>
        <w:tc>
          <w:tcPr>
            <w:tcW w:w="2079"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促进全体师生全面发展</w:t>
            </w:r>
          </w:p>
        </w:tc>
        <w:tc>
          <w:tcPr>
            <w:tcW w:w="1146" w:type="dxa"/>
            <w:tcBorders>
              <w:top w:val="nil"/>
              <w:left w:val="nil"/>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促进全体师生全面发展</w:t>
            </w:r>
          </w:p>
        </w:tc>
        <w:tc>
          <w:tcPr>
            <w:tcW w:w="1320" w:type="dxa"/>
            <w:tcBorders>
              <w:top w:val="nil"/>
              <w:left w:val="single" w:color="000000" w:sz="8" w:space="0"/>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促进全体师生全面发展</w:t>
            </w:r>
          </w:p>
        </w:tc>
        <w:tc>
          <w:tcPr>
            <w:tcW w:w="106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w:t>
            </w:r>
          </w:p>
        </w:tc>
        <w:tc>
          <w:tcPr>
            <w:tcW w:w="84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5.00</w:t>
            </w:r>
          </w:p>
        </w:tc>
        <w:tc>
          <w:tcPr>
            <w:tcW w:w="1539" w:type="dxa"/>
            <w:gridSpan w:val="2"/>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153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2"/>
                <w:szCs w:val="22"/>
                <w:u w:val="none"/>
              </w:rPr>
            </w:pPr>
          </w:p>
        </w:tc>
        <w:tc>
          <w:tcPr>
            <w:tcW w:w="1155"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c>
          <w:tcPr>
            <w:tcW w:w="133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生态效益指标</w:t>
            </w:r>
          </w:p>
        </w:tc>
        <w:tc>
          <w:tcPr>
            <w:tcW w:w="2079"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校园环境改善</w:t>
            </w:r>
          </w:p>
        </w:tc>
        <w:tc>
          <w:tcPr>
            <w:tcW w:w="1146" w:type="dxa"/>
            <w:tcBorders>
              <w:top w:val="nil"/>
              <w:left w:val="nil"/>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改善</w:t>
            </w:r>
          </w:p>
        </w:tc>
        <w:tc>
          <w:tcPr>
            <w:tcW w:w="1320" w:type="dxa"/>
            <w:tcBorders>
              <w:top w:val="nil"/>
              <w:left w:val="single" w:color="000000" w:sz="8" w:space="0"/>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改善</w:t>
            </w:r>
          </w:p>
        </w:tc>
        <w:tc>
          <w:tcPr>
            <w:tcW w:w="106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w:t>
            </w:r>
          </w:p>
        </w:tc>
        <w:tc>
          <w:tcPr>
            <w:tcW w:w="84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4.50</w:t>
            </w:r>
          </w:p>
        </w:tc>
        <w:tc>
          <w:tcPr>
            <w:tcW w:w="1539" w:type="dxa"/>
            <w:gridSpan w:val="2"/>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153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2"/>
                <w:szCs w:val="22"/>
                <w:u w:val="none"/>
              </w:rPr>
            </w:pPr>
          </w:p>
        </w:tc>
        <w:tc>
          <w:tcPr>
            <w:tcW w:w="1155"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c>
          <w:tcPr>
            <w:tcW w:w="133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可持续影响指标</w:t>
            </w:r>
          </w:p>
        </w:tc>
        <w:tc>
          <w:tcPr>
            <w:tcW w:w="2079" w:type="dxa"/>
            <w:gridSpan w:val="2"/>
            <w:tcBorders>
              <w:top w:val="nil"/>
              <w:left w:val="single" w:color="000000" w:sz="8" w:space="0"/>
              <w:bottom w:val="single" w:color="000000" w:sz="8" w:space="0"/>
              <w:right w:val="single" w:color="000000" w:sz="8" w:space="0"/>
            </w:tcBorders>
            <w:shd w:val="clear" w:color="auto" w:fill="auto"/>
            <w:vAlign w:val="center"/>
          </w:tcPr>
          <w:p>
            <w:pPr>
              <w:rPr>
                <w:rFonts w:hint="eastAsia" w:ascii="微软雅黑" w:hAnsi="微软雅黑" w:eastAsia="微软雅黑" w:cs="微软雅黑"/>
                <w:i w:val="0"/>
                <w:iCs w:val="0"/>
                <w:color w:val="000000"/>
                <w:sz w:val="20"/>
                <w:szCs w:val="20"/>
                <w:u w:val="none"/>
              </w:rPr>
            </w:pPr>
          </w:p>
        </w:tc>
        <w:tc>
          <w:tcPr>
            <w:tcW w:w="1146" w:type="dxa"/>
            <w:tcBorders>
              <w:top w:val="nil"/>
              <w:left w:val="nil"/>
              <w:bottom w:val="single" w:color="000000" w:sz="8" w:space="0"/>
              <w:right w:val="nil"/>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c>
          <w:tcPr>
            <w:tcW w:w="1320" w:type="dxa"/>
            <w:tcBorders>
              <w:top w:val="nil"/>
              <w:left w:val="single" w:color="000000" w:sz="8" w:space="0"/>
              <w:bottom w:val="single" w:color="000000" w:sz="8" w:space="0"/>
              <w:right w:val="nil"/>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c>
          <w:tcPr>
            <w:tcW w:w="1065" w:type="dxa"/>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c>
          <w:tcPr>
            <w:tcW w:w="840" w:type="dxa"/>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c>
          <w:tcPr>
            <w:tcW w:w="1539" w:type="dxa"/>
            <w:gridSpan w:val="2"/>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153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2"/>
                <w:szCs w:val="22"/>
                <w:u w:val="none"/>
              </w:rPr>
            </w:pPr>
          </w:p>
        </w:tc>
        <w:tc>
          <w:tcPr>
            <w:tcW w:w="115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满意度指标</w:t>
            </w:r>
          </w:p>
        </w:tc>
        <w:tc>
          <w:tcPr>
            <w:tcW w:w="133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服务对象满意度指标</w:t>
            </w:r>
          </w:p>
        </w:tc>
        <w:tc>
          <w:tcPr>
            <w:tcW w:w="2079"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家长满意度</w:t>
            </w:r>
          </w:p>
        </w:tc>
        <w:tc>
          <w:tcPr>
            <w:tcW w:w="1146" w:type="dxa"/>
            <w:tcBorders>
              <w:top w:val="nil"/>
              <w:left w:val="nil"/>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&gt;=100%</w:t>
            </w:r>
          </w:p>
        </w:tc>
        <w:tc>
          <w:tcPr>
            <w:tcW w:w="1320" w:type="dxa"/>
            <w:tcBorders>
              <w:top w:val="nil"/>
              <w:left w:val="single" w:color="000000" w:sz="8" w:space="0"/>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95%</w:t>
            </w:r>
          </w:p>
        </w:tc>
        <w:tc>
          <w:tcPr>
            <w:tcW w:w="106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84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9.00</w:t>
            </w:r>
          </w:p>
        </w:tc>
        <w:tc>
          <w:tcPr>
            <w:tcW w:w="1539" w:type="dxa"/>
            <w:gridSpan w:val="2"/>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153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2"/>
                <w:szCs w:val="22"/>
                <w:u w:val="none"/>
              </w:rPr>
            </w:pPr>
          </w:p>
        </w:tc>
        <w:tc>
          <w:tcPr>
            <w:tcW w:w="1155"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成本指标</w:t>
            </w:r>
          </w:p>
        </w:tc>
        <w:tc>
          <w:tcPr>
            <w:tcW w:w="133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经济成本指标</w:t>
            </w:r>
          </w:p>
        </w:tc>
        <w:tc>
          <w:tcPr>
            <w:tcW w:w="2079"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项目支出</w:t>
            </w:r>
          </w:p>
        </w:tc>
        <w:tc>
          <w:tcPr>
            <w:tcW w:w="1146" w:type="dxa"/>
            <w:tcBorders>
              <w:top w:val="nil"/>
              <w:left w:val="nil"/>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11万元</w:t>
            </w:r>
          </w:p>
        </w:tc>
        <w:tc>
          <w:tcPr>
            <w:tcW w:w="1320" w:type="dxa"/>
            <w:tcBorders>
              <w:top w:val="nil"/>
              <w:left w:val="single" w:color="000000" w:sz="8" w:space="0"/>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11万元</w:t>
            </w:r>
          </w:p>
        </w:tc>
        <w:tc>
          <w:tcPr>
            <w:tcW w:w="106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84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10.00</w:t>
            </w:r>
          </w:p>
        </w:tc>
        <w:tc>
          <w:tcPr>
            <w:tcW w:w="1539" w:type="dxa"/>
            <w:gridSpan w:val="2"/>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153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2"/>
                <w:szCs w:val="22"/>
                <w:u w:val="none"/>
              </w:rPr>
            </w:pPr>
          </w:p>
        </w:tc>
        <w:tc>
          <w:tcPr>
            <w:tcW w:w="1155"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c>
          <w:tcPr>
            <w:tcW w:w="133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社会成本指标</w:t>
            </w:r>
          </w:p>
        </w:tc>
        <w:tc>
          <w:tcPr>
            <w:tcW w:w="2079"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资金使用合规率</w:t>
            </w:r>
          </w:p>
        </w:tc>
        <w:tc>
          <w:tcPr>
            <w:tcW w:w="1146" w:type="dxa"/>
            <w:tcBorders>
              <w:top w:val="nil"/>
              <w:left w:val="nil"/>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合规</w:t>
            </w:r>
          </w:p>
        </w:tc>
        <w:tc>
          <w:tcPr>
            <w:tcW w:w="1320" w:type="dxa"/>
            <w:tcBorders>
              <w:top w:val="nil"/>
              <w:left w:val="single" w:color="000000" w:sz="8" w:space="0"/>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合规</w:t>
            </w:r>
          </w:p>
        </w:tc>
        <w:tc>
          <w:tcPr>
            <w:tcW w:w="106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84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10.00</w:t>
            </w:r>
          </w:p>
        </w:tc>
        <w:tc>
          <w:tcPr>
            <w:tcW w:w="1539" w:type="dxa"/>
            <w:gridSpan w:val="2"/>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153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2"/>
                <w:szCs w:val="22"/>
                <w:u w:val="none"/>
              </w:rPr>
            </w:pPr>
          </w:p>
        </w:tc>
        <w:tc>
          <w:tcPr>
            <w:tcW w:w="1155"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c>
          <w:tcPr>
            <w:tcW w:w="1335" w:type="dxa"/>
            <w:tcBorders>
              <w:top w:val="nil"/>
              <w:left w:val="single" w:color="000000" w:sz="8" w:space="0"/>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生态环境成本指标</w:t>
            </w:r>
          </w:p>
        </w:tc>
        <w:tc>
          <w:tcPr>
            <w:tcW w:w="2079" w:type="dxa"/>
            <w:gridSpan w:val="2"/>
            <w:tcBorders>
              <w:top w:val="nil"/>
              <w:left w:val="single" w:color="000000" w:sz="8" w:space="0"/>
              <w:bottom w:val="nil"/>
              <w:right w:val="single" w:color="000000" w:sz="8" w:space="0"/>
            </w:tcBorders>
            <w:shd w:val="clear" w:color="auto" w:fill="auto"/>
            <w:vAlign w:val="center"/>
          </w:tcPr>
          <w:p>
            <w:pPr>
              <w:rPr>
                <w:rFonts w:hint="eastAsia" w:ascii="微软雅黑" w:hAnsi="微软雅黑" w:eastAsia="微软雅黑" w:cs="微软雅黑"/>
                <w:i w:val="0"/>
                <w:iCs w:val="0"/>
                <w:color w:val="000000"/>
                <w:sz w:val="20"/>
                <w:szCs w:val="20"/>
                <w:u w:val="none"/>
              </w:rPr>
            </w:pPr>
          </w:p>
        </w:tc>
        <w:tc>
          <w:tcPr>
            <w:tcW w:w="1146" w:type="dxa"/>
            <w:tcBorders>
              <w:top w:val="nil"/>
              <w:left w:val="nil"/>
              <w:bottom w:val="nil"/>
              <w:right w:val="nil"/>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c>
          <w:tcPr>
            <w:tcW w:w="1320" w:type="dxa"/>
            <w:tcBorders>
              <w:top w:val="nil"/>
              <w:left w:val="single" w:color="000000" w:sz="8" w:space="0"/>
              <w:bottom w:val="nil"/>
              <w:right w:val="nil"/>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c>
          <w:tcPr>
            <w:tcW w:w="1065" w:type="dxa"/>
            <w:tcBorders>
              <w:top w:val="nil"/>
              <w:left w:val="single" w:color="000000" w:sz="8" w:space="0"/>
              <w:bottom w:val="nil"/>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c>
          <w:tcPr>
            <w:tcW w:w="840" w:type="dxa"/>
            <w:tcBorders>
              <w:top w:val="nil"/>
              <w:left w:val="single" w:color="000000" w:sz="8" w:space="0"/>
              <w:bottom w:val="nil"/>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c>
          <w:tcPr>
            <w:tcW w:w="1539" w:type="dxa"/>
            <w:gridSpan w:val="2"/>
            <w:tcBorders>
              <w:top w:val="nil"/>
              <w:left w:val="single" w:color="000000" w:sz="8" w:space="0"/>
              <w:bottom w:val="nil"/>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315" w:type="dxa"/>
          <w:trHeight w:val="330" w:hRule="atLeast"/>
        </w:trPr>
        <w:tc>
          <w:tcPr>
            <w:tcW w:w="724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总分</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98.50</w:t>
            </w:r>
          </w:p>
        </w:tc>
        <w:tc>
          <w:tcPr>
            <w:tcW w:w="20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r>
    </w:tbl>
    <w:p>
      <w:pPr>
        <w:widowControl/>
      </w:pPr>
    </w:p>
    <w:p/>
    <w:p/>
    <w:p/>
    <w:p/>
    <w:p>
      <w:pPr>
        <w:jc w:val="center"/>
        <w:rPr>
          <w:rFonts w:hint="eastAsia" w:ascii="宋体" w:hAnsi="宋体"/>
          <w:b/>
          <w:bCs/>
          <w:sz w:val="44"/>
          <w:szCs w:val="44"/>
          <w:lang w:eastAsia="zh-CN"/>
        </w:rPr>
      </w:pPr>
    </w:p>
    <w:p>
      <w:pPr>
        <w:jc w:val="center"/>
        <w:rPr>
          <w:rFonts w:hint="eastAsia" w:ascii="宋体" w:hAnsi="宋体"/>
          <w:b/>
          <w:bCs/>
          <w:sz w:val="44"/>
          <w:szCs w:val="44"/>
          <w:lang w:eastAsia="zh-CN"/>
        </w:rPr>
      </w:pPr>
    </w:p>
    <w:p>
      <w:pPr>
        <w:jc w:val="center"/>
        <w:rPr>
          <w:rFonts w:hint="eastAsia" w:ascii="宋体" w:hAnsi="宋体"/>
          <w:b/>
          <w:bCs/>
          <w:sz w:val="44"/>
          <w:szCs w:val="44"/>
          <w:lang w:eastAsia="zh-CN"/>
        </w:rPr>
      </w:pPr>
    </w:p>
    <w:p>
      <w:pPr>
        <w:jc w:val="center"/>
        <w:rPr>
          <w:rFonts w:hint="eastAsia" w:ascii="宋体" w:hAnsi="宋体"/>
          <w:b/>
          <w:bCs/>
          <w:sz w:val="44"/>
          <w:szCs w:val="44"/>
          <w:lang w:eastAsia="zh-CN"/>
        </w:rPr>
      </w:pPr>
    </w:p>
    <w:p>
      <w:pPr>
        <w:jc w:val="center"/>
        <w:rPr>
          <w:rFonts w:hint="eastAsia" w:ascii="宋体" w:hAnsi="宋体"/>
          <w:b/>
          <w:bCs/>
          <w:sz w:val="44"/>
          <w:szCs w:val="44"/>
          <w:lang w:eastAsia="zh-CN"/>
        </w:rPr>
      </w:pPr>
    </w:p>
    <w:p>
      <w:pPr>
        <w:jc w:val="center"/>
        <w:rPr>
          <w:rFonts w:hint="eastAsia" w:ascii="宋体" w:hAnsi="宋体"/>
          <w:b/>
          <w:bCs/>
          <w:sz w:val="44"/>
          <w:szCs w:val="44"/>
          <w:lang w:eastAsia="zh-CN"/>
        </w:rPr>
      </w:pPr>
    </w:p>
    <w:p>
      <w:pPr>
        <w:jc w:val="center"/>
        <w:rPr>
          <w:rFonts w:hint="eastAsia" w:ascii="宋体" w:hAnsi="宋体"/>
          <w:b/>
          <w:bCs/>
          <w:sz w:val="44"/>
          <w:szCs w:val="44"/>
          <w:lang w:eastAsia="zh-CN"/>
        </w:rPr>
      </w:pPr>
    </w:p>
    <w:p>
      <w:pPr>
        <w:jc w:val="center"/>
        <w:rPr>
          <w:rFonts w:hint="eastAsia" w:ascii="宋体" w:hAnsi="宋体"/>
          <w:b/>
          <w:bCs/>
          <w:sz w:val="44"/>
          <w:szCs w:val="44"/>
          <w:lang w:eastAsia="zh-CN"/>
        </w:rPr>
      </w:pPr>
    </w:p>
    <w:p>
      <w:pPr>
        <w:jc w:val="center"/>
        <w:rPr>
          <w:rFonts w:hint="eastAsia" w:ascii="宋体" w:hAnsi="宋体"/>
          <w:b/>
          <w:bCs/>
          <w:sz w:val="44"/>
          <w:szCs w:val="44"/>
          <w:lang w:eastAsia="zh-CN"/>
        </w:rPr>
      </w:pPr>
    </w:p>
    <w:p>
      <w:pPr>
        <w:jc w:val="center"/>
        <w:rPr>
          <w:rFonts w:hint="eastAsia" w:ascii="宋体" w:hAnsi="宋体"/>
          <w:b/>
          <w:bCs/>
          <w:sz w:val="44"/>
          <w:szCs w:val="44"/>
          <w:lang w:eastAsia="zh-CN"/>
        </w:rPr>
      </w:pPr>
    </w:p>
    <w:p>
      <w:pPr>
        <w:jc w:val="center"/>
        <w:rPr>
          <w:rFonts w:hint="eastAsia" w:ascii="宋体" w:hAnsi="宋体"/>
          <w:b/>
          <w:bCs/>
          <w:sz w:val="44"/>
          <w:szCs w:val="44"/>
          <w:lang w:eastAsia="zh-CN"/>
        </w:rPr>
      </w:pPr>
    </w:p>
    <w:p>
      <w:pPr>
        <w:jc w:val="center"/>
        <w:rPr>
          <w:rFonts w:hint="eastAsia" w:ascii="宋体" w:hAnsi="宋体"/>
          <w:b/>
          <w:bCs/>
          <w:sz w:val="44"/>
          <w:szCs w:val="44"/>
          <w:lang w:eastAsia="zh-CN"/>
        </w:rPr>
      </w:pPr>
    </w:p>
    <w:p>
      <w:pPr>
        <w:jc w:val="center"/>
        <w:rPr>
          <w:rFonts w:hint="eastAsia" w:ascii="宋体" w:hAnsi="宋体"/>
          <w:b/>
          <w:bCs/>
          <w:sz w:val="44"/>
          <w:szCs w:val="44"/>
          <w:lang w:eastAsia="zh-CN"/>
        </w:rPr>
      </w:pPr>
    </w:p>
    <w:p>
      <w:pPr>
        <w:jc w:val="center"/>
        <w:rPr>
          <w:rFonts w:hint="eastAsia" w:ascii="宋体" w:hAnsi="宋体"/>
          <w:b/>
          <w:bCs/>
          <w:sz w:val="44"/>
          <w:szCs w:val="44"/>
          <w:lang w:eastAsia="zh-CN"/>
        </w:rPr>
      </w:pPr>
    </w:p>
    <w:p>
      <w:pPr>
        <w:jc w:val="center"/>
        <w:rPr>
          <w:rFonts w:hint="eastAsia" w:ascii="宋体" w:hAnsi="宋体"/>
          <w:b/>
          <w:bCs/>
          <w:sz w:val="44"/>
          <w:szCs w:val="44"/>
          <w:lang w:eastAsia="zh-CN"/>
        </w:rPr>
      </w:pPr>
    </w:p>
    <w:p>
      <w:pPr>
        <w:jc w:val="center"/>
        <w:rPr>
          <w:rFonts w:hint="eastAsia" w:ascii="宋体" w:hAnsi="宋体"/>
          <w:b/>
          <w:bCs/>
          <w:sz w:val="44"/>
          <w:szCs w:val="44"/>
          <w:lang w:eastAsia="zh-CN"/>
        </w:rPr>
      </w:pPr>
    </w:p>
    <w:p>
      <w:pPr>
        <w:jc w:val="both"/>
        <w:rPr>
          <w:rFonts w:hint="eastAsia" w:ascii="宋体" w:hAnsi="宋体"/>
          <w:b/>
          <w:bCs/>
          <w:sz w:val="44"/>
          <w:szCs w:val="44"/>
          <w:lang w:eastAsia="zh-CN"/>
        </w:rPr>
      </w:pPr>
    </w:p>
    <w:p>
      <w:pPr>
        <w:jc w:val="center"/>
        <w:rPr>
          <w:rFonts w:hint="eastAsia" w:ascii="宋体" w:hAnsi="宋体"/>
          <w:b/>
          <w:bCs/>
          <w:sz w:val="44"/>
          <w:szCs w:val="44"/>
        </w:rPr>
      </w:pPr>
      <w:r>
        <w:rPr>
          <w:rFonts w:hint="eastAsia" w:ascii="宋体" w:hAnsi="宋体"/>
          <w:b/>
          <w:bCs/>
          <w:sz w:val="44"/>
          <w:szCs w:val="44"/>
          <w:lang w:eastAsia="zh-CN"/>
        </w:rPr>
        <w:t>二中校园建设</w:t>
      </w:r>
      <w:r>
        <w:rPr>
          <w:rFonts w:hint="eastAsia" w:ascii="宋体" w:hAnsi="宋体"/>
          <w:b/>
          <w:bCs/>
          <w:sz w:val="44"/>
          <w:szCs w:val="44"/>
        </w:rPr>
        <w:t>专项</w:t>
      </w:r>
    </w:p>
    <w:p>
      <w:pPr>
        <w:jc w:val="center"/>
        <w:rPr>
          <w:rFonts w:hint="eastAsia" w:ascii="宋体" w:hAnsi="宋体"/>
          <w:b/>
          <w:bCs/>
          <w:sz w:val="44"/>
          <w:szCs w:val="44"/>
        </w:rPr>
      </w:pPr>
      <w:r>
        <w:rPr>
          <w:rFonts w:hint="eastAsia" w:ascii="宋体" w:hAnsi="宋体" w:cs="Arial"/>
          <w:b/>
          <w:bCs/>
          <w:sz w:val="44"/>
          <w:szCs w:val="44"/>
        </w:rPr>
        <w:t>2023</w:t>
      </w:r>
      <w:r>
        <w:rPr>
          <w:rFonts w:hint="eastAsia" w:ascii="宋体" w:hAnsi="宋体"/>
          <w:b/>
          <w:bCs/>
          <w:sz w:val="44"/>
          <w:szCs w:val="44"/>
        </w:rPr>
        <w:t>年度绩效自评报告</w:t>
      </w:r>
    </w:p>
    <w:p>
      <w:pPr>
        <w:pStyle w:val="3"/>
        <w:numPr>
          <w:ilvl w:val="0"/>
          <w:numId w:val="2"/>
        </w:numPr>
        <w:bidi w:val="0"/>
        <w:rPr>
          <w:rFonts w:hint="default"/>
          <w:lang w:val="en-US" w:eastAsia="zh-CN"/>
        </w:rPr>
      </w:pPr>
      <w:r>
        <w:rPr>
          <w:rFonts w:hint="eastAsia"/>
          <w:lang w:val="en-US" w:eastAsia="zh-CN"/>
        </w:rPr>
        <w:t>项目概括</w:t>
      </w:r>
    </w:p>
    <w:p>
      <w:pPr>
        <w:rPr>
          <w:rFonts w:hint="default"/>
          <w:sz w:val="32"/>
          <w:szCs w:val="40"/>
          <w:lang w:val="en-US" w:eastAsia="zh-CN"/>
        </w:rPr>
      </w:pPr>
      <w:r>
        <w:rPr>
          <w:rFonts w:hint="eastAsia"/>
          <w:sz w:val="32"/>
          <w:szCs w:val="40"/>
          <w:lang w:val="en-US" w:eastAsia="zh-CN"/>
        </w:rPr>
        <w:t>（一）项目单位基本情况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jc w:val="left"/>
        <w:rPr>
          <w:rFonts w:hint="default" w:ascii="Helvetica" w:hAnsi="Helvetica" w:eastAsia="Helvetica" w:cs="Helvetica"/>
          <w:i w:val="0"/>
          <w:iCs w:val="0"/>
          <w:caps w:val="0"/>
          <w:color w:val="333333"/>
          <w:spacing w:val="0"/>
          <w:kern w:val="0"/>
          <w:sz w:val="28"/>
          <w:szCs w:val="28"/>
          <w:shd w:val="clear" w:fill="FFFFFF"/>
          <w:lang w:val="en-US" w:eastAsia="zh-CN" w:bidi="ar"/>
        </w:rPr>
      </w:pPr>
      <w:r>
        <w:rPr>
          <w:rFonts w:hint="default" w:ascii="Helvetica" w:hAnsi="Helvetica" w:eastAsia="Helvetica" w:cs="Helvetica"/>
          <w:i w:val="0"/>
          <w:iCs w:val="0"/>
          <w:caps w:val="0"/>
          <w:color w:val="333333"/>
          <w:spacing w:val="0"/>
          <w:kern w:val="0"/>
          <w:sz w:val="28"/>
          <w:szCs w:val="28"/>
          <w:shd w:val="clear" w:fill="FFFFFF"/>
          <w:lang w:val="en-US" w:eastAsia="zh-CN" w:bidi="ar"/>
        </w:rPr>
        <w:t>北宋天圣年间（公元1023——1032年），太常博士</w:t>
      </w:r>
      <w:r>
        <w:rPr>
          <w:rFonts w:hint="default" w:ascii="Helvetica" w:hAnsi="Helvetica" w:eastAsia="Helvetica" w:cs="Helvetica"/>
          <w:i w:val="0"/>
          <w:iCs w:val="0"/>
          <w:caps w:val="0"/>
          <w:color w:val="136EC2"/>
          <w:spacing w:val="0"/>
          <w:kern w:val="0"/>
          <w:sz w:val="28"/>
          <w:szCs w:val="28"/>
          <w:u w:val="none"/>
          <w:shd w:val="clear" w:fill="FFFFFF"/>
          <w:lang w:val="en-US" w:eastAsia="zh-CN" w:bidi="ar"/>
        </w:rPr>
        <w:fldChar w:fldCharType="begin"/>
      </w:r>
      <w:r>
        <w:rPr>
          <w:rFonts w:hint="default" w:ascii="Helvetica" w:hAnsi="Helvetica" w:eastAsia="Helvetica" w:cs="Helvetica"/>
          <w:i w:val="0"/>
          <w:iCs w:val="0"/>
          <w:caps w:val="0"/>
          <w:color w:val="136EC2"/>
          <w:spacing w:val="0"/>
          <w:kern w:val="0"/>
          <w:sz w:val="28"/>
          <w:szCs w:val="28"/>
          <w:u w:val="none"/>
          <w:shd w:val="clear" w:fill="FFFFFF"/>
          <w:lang w:val="en-US" w:eastAsia="zh-CN" w:bidi="ar"/>
        </w:rPr>
        <w:instrText xml:space="preserve"> HYPERLINK "https://baike.baidu.com/item/%E5%91%A8%E5%B0%A7%E5%8D%BF/0?fromModule=lemma_inlink" \t "https://baike.baidu.com/item/%E6%B1%9F%E6%B0%B8%E5%8E%BF%E7%AC%AC%E4%BA%8C%E4%B8%AD%E5%AD%A6/_blank" </w:instrText>
      </w:r>
      <w:r>
        <w:rPr>
          <w:rFonts w:hint="default" w:ascii="Helvetica" w:hAnsi="Helvetica" w:eastAsia="Helvetica" w:cs="Helvetica"/>
          <w:i w:val="0"/>
          <w:iCs w:val="0"/>
          <w:caps w:val="0"/>
          <w:color w:val="136EC2"/>
          <w:spacing w:val="0"/>
          <w:kern w:val="0"/>
          <w:sz w:val="28"/>
          <w:szCs w:val="28"/>
          <w:u w:val="none"/>
          <w:shd w:val="clear" w:fill="FFFFFF"/>
          <w:lang w:val="en-US" w:eastAsia="zh-CN" w:bidi="ar"/>
        </w:rPr>
        <w:fldChar w:fldCharType="separate"/>
      </w:r>
      <w:r>
        <w:rPr>
          <w:rStyle w:val="9"/>
          <w:rFonts w:hint="default" w:ascii="Helvetica" w:hAnsi="Helvetica" w:eastAsia="Helvetica" w:cs="Helvetica"/>
          <w:i w:val="0"/>
          <w:iCs w:val="0"/>
          <w:caps w:val="0"/>
          <w:color w:val="136EC2"/>
          <w:spacing w:val="0"/>
          <w:sz w:val="28"/>
          <w:szCs w:val="28"/>
          <w:u w:val="none"/>
          <w:shd w:val="clear" w:fill="FFFFFF"/>
        </w:rPr>
        <w:t>周尧卿</w:t>
      </w:r>
      <w:r>
        <w:rPr>
          <w:rFonts w:hint="default" w:ascii="Helvetica" w:hAnsi="Helvetica" w:eastAsia="Helvetica" w:cs="Helvetica"/>
          <w:i w:val="0"/>
          <w:iCs w:val="0"/>
          <w:caps w:val="0"/>
          <w:color w:val="136EC2"/>
          <w:spacing w:val="0"/>
          <w:kern w:val="0"/>
          <w:sz w:val="28"/>
          <w:szCs w:val="28"/>
          <w:u w:val="none"/>
          <w:shd w:val="clear" w:fill="FFFFFF"/>
          <w:lang w:val="en-US" w:eastAsia="zh-CN" w:bidi="ar"/>
        </w:rPr>
        <w:fldChar w:fldCharType="end"/>
      </w:r>
      <w:r>
        <w:rPr>
          <w:rFonts w:hint="default" w:ascii="Helvetica" w:hAnsi="Helvetica" w:eastAsia="Helvetica" w:cs="Helvetica"/>
          <w:i w:val="0"/>
          <w:iCs w:val="0"/>
          <w:caps w:val="0"/>
          <w:color w:val="333333"/>
          <w:spacing w:val="0"/>
          <w:kern w:val="0"/>
          <w:sz w:val="28"/>
          <w:szCs w:val="28"/>
          <w:shd w:val="clear" w:fill="FFFFFF"/>
          <w:lang w:val="en-US" w:eastAsia="zh-CN" w:bidi="ar"/>
        </w:rPr>
        <w:t>（今</w:t>
      </w:r>
      <w:r>
        <w:rPr>
          <w:rFonts w:hint="default" w:ascii="Helvetica" w:hAnsi="Helvetica" w:eastAsia="Helvetica" w:cs="Helvetica"/>
          <w:i w:val="0"/>
          <w:iCs w:val="0"/>
          <w:caps w:val="0"/>
          <w:color w:val="136EC2"/>
          <w:spacing w:val="0"/>
          <w:kern w:val="0"/>
          <w:sz w:val="28"/>
          <w:szCs w:val="28"/>
          <w:u w:val="none"/>
          <w:shd w:val="clear" w:fill="FFFFFF"/>
          <w:lang w:val="en-US" w:eastAsia="zh-CN" w:bidi="ar"/>
        </w:rPr>
        <w:fldChar w:fldCharType="begin"/>
      </w:r>
      <w:r>
        <w:rPr>
          <w:rFonts w:hint="default" w:ascii="Helvetica" w:hAnsi="Helvetica" w:eastAsia="Helvetica" w:cs="Helvetica"/>
          <w:i w:val="0"/>
          <w:iCs w:val="0"/>
          <w:caps w:val="0"/>
          <w:color w:val="136EC2"/>
          <w:spacing w:val="0"/>
          <w:kern w:val="0"/>
          <w:sz w:val="28"/>
          <w:szCs w:val="28"/>
          <w:u w:val="none"/>
          <w:shd w:val="clear" w:fill="FFFFFF"/>
          <w:lang w:val="en-US" w:eastAsia="zh-CN" w:bidi="ar"/>
        </w:rPr>
        <w:instrText xml:space="preserve"> HYPERLINK "https://baike.baidu.com/item/%E6%B1%9F%E6%B0%B8%E5%8E%BF/0?fromModule=lemma_inlink" \t "https://baike.baidu.com/item/%E6%B1%9F%E6%B0%B8%E5%8E%BF%E7%AC%AC%E4%BA%8C%E4%B8%AD%E5%AD%A6/_blank" </w:instrText>
      </w:r>
      <w:r>
        <w:rPr>
          <w:rFonts w:hint="default" w:ascii="Helvetica" w:hAnsi="Helvetica" w:eastAsia="Helvetica" w:cs="Helvetica"/>
          <w:i w:val="0"/>
          <w:iCs w:val="0"/>
          <w:caps w:val="0"/>
          <w:color w:val="136EC2"/>
          <w:spacing w:val="0"/>
          <w:kern w:val="0"/>
          <w:sz w:val="28"/>
          <w:szCs w:val="28"/>
          <w:u w:val="none"/>
          <w:shd w:val="clear" w:fill="FFFFFF"/>
          <w:lang w:val="en-US" w:eastAsia="zh-CN" w:bidi="ar"/>
        </w:rPr>
        <w:fldChar w:fldCharType="separate"/>
      </w:r>
      <w:r>
        <w:rPr>
          <w:rStyle w:val="9"/>
          <w:rFonts w:hint="default" w:ascii="Helvetica" w:hAnsi="Helvetica" w:eastAsia="Helvetica" w:cs="Helvetica"/>
          <w:i w:val="0"/>
          <w:iCs w:val="0"/>
          <w:caps w:val="0"/>
          <w:color w:val="136EC2"/>
          <w:spacing w:val="0"/>
          <w:sz w:val="28"/>
          <w:szCs w:val="28"/>
          <w:u w:val="none"/>
          <w:shd w:val="clear" w:fill="FFFFFF"/>
        </w:rPr>
        <w:t>江永县</w:t>
      </w:r>
      <w:r>
        <w:rPr>
          <w:rFonts w:hint="default" w:ascii="Helvetica" w:hAnsi="Helvetica" w:eastAsia="Helvetica" w:cs="Helvetica"/>
          <w:i w:val="0"/>
          <w:iCs w:val="0"/>
          <w:caps w:val="0"/>
          <w:color w:val="136EC2"/>
          <w:spacing w:val="0"/>
          <w:kern w:val="0"/>
          <w:sz w:val="28"/>
          <w:szCs w:val="28"/>
          <w:u w:val="none"/>
          <w:shd w:val="clear" w:fill="FFFFFF"/>
          <w:lang w:val="en-US" w:eastAsia="zh-CN" w:bidi="ar"/>
        </w:rPr>
        <w:fldChar w:fldCharType="end"/>
      </w:r>
      <w:r>
        <w:rPr>
          <w:rFonts w:hint="default" w:ascii="Helvetica" w:hAnsi="Helvetica" w:eastAsia="Helvetica" w:cs="Helvetica"/>
          <w:i w:val="0"/>
          <w:iCs w:val="0"/>
          <w:caps w:val="0"/>
          <w:color w:val="333333"/>
          <w:spacing w:val="0"/>
          <w:kern w:val="0"/>
          <w:sz w:val="28"/>
          <w:szCs w:val="28"/>
          <w:shd w:val="clear" w:fill="FFFFFF"/>
          <w:lang w:val="en-US" w:eastAsia="zh-CN" w:bidi="ar"/>
        </w:rPr>
        <w:t>粗石江镇人，周敦颐之堂叔）首倡募行捐资，扩建馆舍，桃川书馆改为“桃川书院”，一直沿袭到明清时期。清光绪末年，废科举，兴学堂， 改桃溪书院为“桃溪高等小学堂”。民国初，改名为“永明县桃溪高等小学校”，1937年改名“永明县第六高级小学”，1940年改名“桃川镇中心国民学校”。1950年改名“桃川完全小学”，1958年附设初中，改名“江永县桃川完小附中”。1960年正式成立江永县第二中学。1968年下期增招高中班，改名为“江永县第二完全中学”。1972年恢复为“江永县第二中学”，成为县直属中学。</w:t>
      </w:r>
    </w:p>
    <w:p>
      <w:pPr>
        <w:numPr>
          <w:ilvl w:val="0"/>
          <w:numId w:val="3"/>
        </w:numPr>
        <w:rPr>
          <w:rFonts w:hint="default"/>
          <w:sz w:val="32"/>
          <w:szCs w:val="40"/>
          <w:lang w:val="en-US" w:eastAsia="zh-CN"/>
        </w:rPr>
      </w:pPr>
      <w:r>
        <w:rPr>
          <w:rFonts w:hint="eastAsia"/>
          <w:sz w:val="32"/>
          <w:szCs w:val="40"/>
          <w:lang w:val="en-US" w:eastAsia="zh-CN"/>
        </w:rPr>
        <w:t>项目基本情况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jc w:val="left"/>
        <w:rPr>
          <w:rFonts w:hint="default" w:ascii="Helvetica" w:hAnsi="Helvetica" w:eastAsia="Helvetica" w:cs="Helvetica"/>
          <w:i w:val="0"/>
          <w:iCs w:val="0"/>
          <w:caps w:val="0"/>
          <w:color w:val="333333"/>
          <w:spacing w:val="0"/>
          <w:kern w:val="0"/>
          <w:sz w:val="28"/>
          <w:szCs w:val="28"/>
          <w:shd w:val="clear" w:fill="FFFFFF"/>
          <w:lang w:val="en-US" w:eastAsia="zh-CN" w:bidi="ar"/>
        </w:rPr>
      </w:pPr>
      <w:r>
        <w:rPr>
          <w:rFonts w:hint="eastAsia" w:ascii="Helvetica" w:hAnsi="Helvetica" w:eastAsia="Helvetica" w:cs="Helvetica"/>
          <w:i w:val="0"/>
          <w:iCs w:val="0"/>
          <w:caps w:val="0"/>
          <w:color w:val="333333"/>
          <w:spacing w:val="0"/>
          <w:kern w:val="0"/>
          <w:sz w:val="28"/>
          <w:szCs w:val="28"/>
          <w:shd w:val="clear" w:fill="FFFFFF"/>
          <w:lang w:val="en-US" w:eastAsia="zh-CN" w:bidi="ar"/>
        </w:rPr>
        <w:t>1.项目资金使用情况</w:t>
      </w:r>
    </w:p>
    <w:p>
      <w:pPr>
        <w:rPr>
          <w:rFonts w:hint="eastAsia"/>
          <w:sz w:val="28"/>
          <w:szCs w:val="28"/>
          <w:lang w:val="en-US" w:eastAsia="zh-CN"/>
        </w:rPr>
      </w:pPr>
      <w:r>
        <w:rPr>
          <w:rFonts w:hint="eastAsia"/>
          <w:sz w:val="28"/>
          <w:szCs w:val="28"/>
          <w:lang w:eastAsia="zh-CN"/>
        </w:rPr>
        <w:t>二中事业发展项目</w:t>
      </w:r>
      <w:r>
        <w:rPr>
          <w:rFonts w:hint="eastAsia"/>
          <w:sz w:val="28"/>
          <w:szCs w:val="28"/>
          <w:lang w:val="en-US" w:eastAsia="zh-CN"/>
        </w:rPr>
        <w:t>650万元</w:t>
      </w:r>
    </w:p>
    <w:p>
      <w:pPr>
        <w:numPr>
          <w:ilvl w:val="0"/>
          <w:numId w:val="2"/>
        </w:numPr>
        <w:ind w:left="0" w:leftChars="0" w:firstLine="0" w:firstLineChars="0"/>
        <w:rPr>
          <w:rFonts w:hint="eastAsia"/>
          <w:sz w:val="28"/>
          <w:szCs w:val="28"/>
          <w:lang w:val="en-US" w:eastAsia="zh-CN"/>
        </w:rPr>
      </w:pPr>
      <w:r>
        <w:rPr>
          <w:rFonts w:hint="eastAsia"/>
          <w:sz w:val="28"/>
          <w:szCs w:val="28"/>
          <w:lang w:val="en-US" w:eastAsia="zh-CN"/>
        </w:rPr>
        <w:t>执行情况</w:t>
      </w:r>
    </w:p>
    <w:p>
      <w:pPr>
        <w:numPr>
          <w:ilvl w:val="0"/>
          <w:numId w:val="0"/>
        </w:numPr>
        <w:ind w:leftChars="0"/>
        <w:rPr>
          <w:rFonts w:hint="eastAsia"/>
          <w:sz w:val="28"/>
          <w:szCs w:val="28"/>
          <w:lang w:val="en-US" w:eastAsia="zh-CN"/>
        </w:rPr>
      </w:pPr>
      <w:r>
        <w:rPr>
          <w:rFonts w:hint="eastAsia"/>
          <w:sz w:val="28"/>
          <w:szCs w:val="28"/>
          <w:lang w:val="en-US" w:eastAsia="zh-CN"/>
        </w:rPr>
        <w:t>2023年度江永县安排11万元用于校园建设支出。</w:t>
      </w:r>
    </w:p>
    <w:p>
      <w:pPr>
        <w:spacing w:line="600" w:lineRule="exact"/>
        <w:rPr>
          <w:rFonts w:hint="eastAsia" w:eastAsia="仿宋_GB2312"/>
          <w:sz w:val="32"/>
          <w:szCs w:val="32"/>
        </w:rPr>
      </w:pPr>
      <w:r>
        <w:rPr>
          <w:rFonts w:hint="eastAsia" w:eastAsia="仿宋_GB2312"/>
          <w:sz w:val="32"/>
          <w:szCs w:val="32"/>
        </w:rPr>
        <w:t>四、项目绩效情况</w:t>
      </w:r>
    </w:p>
    <w:p>
      <w:pPr>
        <w:spacing w:line="600" w:lineRule="exact"/>
        <w:rPr>
          <w:rFonts w:hint="eastAsia" w:eastAsia="仿宋_GB2312"/>
          <w:sz w:val="32"/>
          <w:szCs w:val="32"/>
        </w:rPr>
      </w:pPr>
      <w:r>
        <w:rPr>
          <w:rFonts w:hint="eastAsia" w:eastAsia="仿宋_GB2312"/>
          <w:sz w:val="32"/>
          <w:szCs w:val="32"/>
        </w:rPr>
        <w:t>1.项目经济性分析。2023年县财政安排的</w:t>
      </w:r>
      <w:r>
        <w:rPr>
          <w:rFonts w:hint="eastAsia" w:eastAsia="仿宋_GB2312"/>
          <w:sz w:val="32"/>
          <w:szCs w:val="32"/>
          <w:lang w:eastAsia="zh-CN"/>
        </w:rPr>
        <w:t>校园建设资金</w:t>
      </w:r>
      <w:r>
        <w:rPr>
          <w:rFonts w:hint="eastAsia" w:eastAsia="仿宋_GB2312"/>
          <w:sz w:val="32"/>
          <w:szCs w:val="32"/>
          <w:lang w:val="en-US" w:eastAsia="zh-CN"/>
        </w:rPr>
        <w:t>650</w:t>
      </w:r>
      <w:r>
        <w:rPr>
          <w:rFonts w:hint="eastAsia" w:eastAsia="仿宋_GB2312"/>
          <w:sz w:val="32"/>
          <w:szCs w:val="32"/>
        </w:rPr>
        <w:t xml:space="preserve">万元，本着“少花钱、多办事、办好事”的原则，项目总支出 </w:t>
      </w:r>
      <w:r>
        <w:rPr>
          <w:rFonts w:hint="eastAsia" w:eastAsia="仿宋_GB2312"/>
          <w:sz w:val="32"/>
          <w:szCs w:val="32"/>
          <w:lang w:val="en-US" w:eastAsia="zh-CN"/>
        </w:rPr>
        <w:t>11</w:t>
      </w:r>
      <w:r>
        <w:rPr>
          <w:rFonts w:hint="eastAsia" w:eastAsia="仿宋_GB2312"/>
          <w:sz w:val="32"/>
          <w:szCs w:val="32"/>
        </w:rPr>
        <w:t>万元，资金收支平衡。</w:t>
      </w:r>
    </w:p>
    <w:p>
      <w:pPr>
        <w:spacing w:line="600" w:lineRule="exact"/>
        <w:rPr>
          <w:rFonts w:hint="eastAsia" w:eastAsia="仿宋_GB2312"/>
          <w:sz w:val="32"/>
          <w:szCs w:val="32"/>
        </w:rPr>
      </w:pPr>
      <w:r>
        <w:rPr>
          <w:rFonts w:hint="eastAsia" w:eastAsia="仿宋_GB2312"/>
          <w:sz w:val="32"/>
          <w:szCs w:val="32"/>
        </w:rPr>
        <w:t>2.项目的效率性分析。根据县级</w:t>
      </w:r>
      <w:r>
        <w:rPr>
          <w:rFonts w:hint="eastAsia" w:eastAsia="仿宋_GB2312"/>
          <w:sz w:val="32"/>
          <w:szCs w:val="32"/>
          <w:lang w:eastAsia="zh-CN"/>
        </w:rPr>
        <w:t>校园</w:t>
      </w:r>
      <w:r>
        <w:rPr>
          <w:rFonts w:hint="eastAsia" w:eastAsia="仿宋_GB2312"/>
          <w:sz w:val="32"/>
          <w:szCs w:val="32"/>
        </w:rPr>
        <w:t>建设目标，及时组织项目的实施，及时支付给</w:t>
      </w:r>
      <w:r>
        <w:rPr>
          <w:rFonts w:hint="eastAsia" w:eastAsia="仿宋_GB2312"/>
          <w:sz w:val="32"/>
          <w:szCs w:val="32"/>
          <w:lang w:eastAsia="zh-CN"/>
        </w:rPr>
        <w:t>二中</w:t>
      </w:r>
      <w:r>
        <w:rPr>
          <w:rFonts w:hint="eastAsia" w:eastAsia="仿宋_GB2312"/>
          <w:sz w:val="32"/>
          <w:szCs w:val="32"/>
        </w:rPr>
        <w:t>。项目的实施完成率100%。</w:t>
      </w:r>
    </w:p>
    <w:p>
      <w:pPr>
        <w:spacing w:line="600" w:lineRule="exact"/>
        <w:rPr>
          <w:rFonts w:hint="eastAsia" w:eastAsia="仿宋_GB2312"/>
          <w:sz w:val="32"/>
          <w:szCs w:val="32"/>
        </w:rPr>
      </w:pPr>
      <w:r>
        <w:rPr>
          <w:rFonts w:hint="eastAsia" w:eastAsia="仿宋_GB2312"/>
          <w:sz w:val="32"/>
          <w:szCs w:val="32"/>
        </w:rPr>
        <w:t>3.项目的效益性分析。我</w:t>
      </w:r>
      <w:r>
        <w:rPr>
          <w:rFonts w:hint="eastAsia" w:eastAsia="仿宋_GB2312"/>
          <w:sz w:val="32"/>
          <w:szCs w:val="32"/>
          <w:lang w:eastAsia="zh-CN"/>
        </w:rPr>
        <w:t>校</w:t>
      </w:r>
      <w:r>
        <w:rPr>
          <w:rFonts w:hint="eastAsia" w:eastAsia="仿宋_GB2312"/>
          <w:sz w:val="32"/>
          <w:szCs w:val="32"/>
        </w:rPr>
        <w:t>及时组织了</w:t>
      </w:r>
      <w:r>
        <w:rPr>
          <w:rFonts w:hint="eastAsia" w:eastAsia="仿宋_GB2312"/>
          <w:sz w:val="32"/>
          <w:szCs w:val="32"/>
          <w:lang w:eastAsia="zh-CN"/>
        </w:rPr>
        <w:t>校园</w:t>
      </w:r>
      <w:r>
        <w:rPr>
          <w:rFonts w:hint="eastAsia" w:eastAsia="仿宋_GB2312"/>
          <w:sz w:val="32"/>
          <w:szCs w:val="32"/>
        </w:rPr>
        <w:t>建设工作，年度项目完工率100%,资金预算完成率100%.有力地促进了生态保护。</w:t>
      </w:r>
    </w:p>
    <w:p>
      <w:pPr>
        <w:spacing w:line="600" w:lineRule="exact"/>
        <w:rPr>
          <w:rFonts w:hint="eastAsia" w:eastAsia="仿宋_GB2312"/>
          <w:sz w:val="32"/>
          <w:szCs w:val="32"/>
        </w:rPr>
      </w:pPr>
      <w:r>
        <w:rPr>
          <w:rFonts w:hint="eastAsia" w:eastAsia="仿宋_GB2312"/>
          <w:sz w:val="32"/>
          <w:szCs w:val="32"/>
        </w:rPr>
        <w:t>五、其他需要说明的问题</w:t>
      </w:r>
    </w:p>
    <w:p>
      <w:pPr>
        <w:spacing w:line="600" w:lineRule="exact"/>
        <w:rPr>
          <w:rFonts w:hint="eastAsia" w:eastAsia="仿宋_GB2312"/>
          <w:sz w:val="32"/>
          <w:szCs w:val="32"/>
        </w:rPr>
      </w:pPr>
      <w:r>
        <w:rPr>
          <w:rFonts w:hint="eastAsia" w:eastAsia="仿宋_GB2312"/>
          <w:sz w:val="32"/>
          <w:szCs w:val="32"/>
        </w:rPr>
        <w:t>(一)后续工作计划</w:t>
      </w:r>
    </w:p>
    <w:p>
      <w:pPr>
        <w:spacing w:line="600" w:lineRule="exact"/>
        <w:rPr>
          <w:rFonts w:hint="eastAsia" w:eastAsia="仿宋_GB2312"/>
          <w:sz w:val="32"/>
          <w:szCs w:val="32"/>
        </w:rPr>
      </w:pPr>
      <w:r>
        <w:rPr>
          <w:rFonts w:hint="eastAsia" w:eastAsia="仿宋_GB2312"/>
          <w:sz w:val="32"/>
          <w:szCs w:val="32"/>
        </w:rPr>
        <w:t>一是优化资源配置，提升教育教学质量；</w:t>
      </w:r>
    </w:p>
    <w:p>
      <w:pPr>
        <w:spacing w:line="600" w:lineRule="exact"/>
        <w:rPr>
          <w:rFonts w:hint="eastAsia" w:eastAsia="仿宋_GB2312"/>
          <w:sz w:val="32"/>
          <w:szCs w:val="32"/>
        </w:rPr>
      </w:pPr>
      <w:r>
        <w:rPr>
          <w:rFonts w:hint="eastAsia" w:eastAsia="仿宋_GB2312"/>
          <w:sz w:val="32"/>
          <w:szCs w:val="32"/>
        </w:rPr>
        <w:t>二是加强内部管理，提高管理效能；</w:t>
      </w:r>
    </w:p>
    <w:p>
      <w:pPr>
        <w:spacing w:line="600" w:lineRule="exact"/>
        <w:rPr>
          <w:rFonts w:hint="eastAsia" w:eastAsia="仿宋_GB2312"/>
          <w:sz w:val="32"/>
          <w:szCs w:val="32"/>
        </w:rPr>
      </w:pPr>
      <w:r>
        <w:rPr>
          <w:rFonts w:hint="eastAsia" w:eastAsia="仿宋_GB2312"/>
          <w:sz w:val="32"/>
          <w:szCs w:val="32"/>
        </w:rPr>
        <w:t>三是推动创新发展，增强学校核心竞争力。</w:t>
      </w:r>
    </w:p>
    <w:p>
      <w:pPr>
        <w:spacing w:line="600" w:lineRule="exact"/>
        <w:rPr>
          <w:rFonts w:hint="eastAsia" w:eastAsia="仿宋_GB2312"/>
          <w:sz w:val="32"/>
          <w:szCs w:val="32"/>
        </w:rPr>
      </w:pPr>
      <w:r>
        <w:rPr>
          <w:rFonts w:hint="eastAsia" w:eastAsia="仿宋_GB2312"/>
          <w:sz w:val="32"/>
          <w:szCs w:val="32"/>
        </w:rPr>
        <w:t>(二)主要经验及做法、存在的问题和建议</w:t>
      </w:r>
    </w:p>
    <w:p>
      <w:pPr>
        <w:spacing w:line="600" w:lineRule="exact"/>
        <w:rPr>
          <w:rFonts w:hint="eastAsia" w:eastAsia="仿宋_GB2312"/>
          <w:sz w:val="32"/>
          <w:szCs w:val="32"/>
        </w:rPr>
      </w:pPr>
      <w:r>
        <w:rPr>
          <w:rFonts w:hint="eastAsia" w:eastAsia="仿宋_GB2312"/>
          <w:sz w:val="32"/>
          <w:szCs w:val="32"/>
        </w:rPr>
        <w:t>1.主要经验及做法</w:t>
      </w:r>
    </w:p>
    <w:p>
      <w:pPr>
        <w:spacing w:line="600" w:lineRule="exact"/>
        <w:rPr>
          <w:rFonts w:hint="eastAsia" w:eastAsia="仿宋_GB2312"/>
          <w:sz w:val="32"/>
          <w:szCs w:val="32"/>
          <w:lang w:val="en-US" w:eastAsia="zh-CN"/>
        </w:rPr>
      </w:pPr>
      <w:r>
        <w:rPr>
          <w:rFonts w:hint="eastAsia" w:eastAsia="仿宋_GB2312"/>
          <w:sz w:val="32"/>
          <w:szCs w:val="32"/>
        </w:rPr>
        <w:t>高位推动，强化组织领导，强化宣传，营造浓厚氛围</w:t>
      </w:r>
      <w:r>
        <w:rPr>
          <w:rFonts w:hint="eastAsia" w:eastAsia="仿宋_GB2312"/>
          <w:sz w:val="32"/>
          <w:szCs w:val="32"/>
          <w:lang w:eastAsia="zh-CN"/>
        </w:rPr>
        <w:t>。</w:t>
      </w:r>
    </w:p>
    <w:p>
      <w:pPr>
        <w:pStyle w:val="10"/>
        <w:spacing w:line="600" w:lineRule="exact"/>
        <w:ind w:left="0" w:leftChars="0" w:firstLine="0" w:firstLineChars="0"/>
        <w:rPr>
          <w:rFonts w:ascii="Times New Roman" w:hAnsi="Times New Roman" w:eastAsia="黑体"/>
          <w:sz w:val="32"/>
          <w:szCs w:val="32"/>
        </w:rPr>
      </w:pPr>
      <w:r>
        <w:rPr>
          <w:rFonts w:hint="eastAsia" w:ascii="Times New Roman" w:hAnsi="Times New Roman" w:eastAsia="黑体"/>
          <w:sz w:val="32"/>
          <w:szCs w:val="32"/>
          <w:lang w:val="en-US" w:eastAsia="zh-CN"/>
        </w:rPr>
        <w:t>2</w:t>
      </w:r>
      <w:r>
        <w:rPr>
          <w:rFonts w:ascii="Times New Roman" w:hAnsi="Times New Roman" w:eastAsia="黑体"/>
          <w:sz w:val="32"/>
          <w:szCs w:val="32"/>
        </w:rPr>
        <w:t>、存在的问题及原因分析</w:t>
      </w:r>
    </w:p>
    <w:p>
      <w:pPr>
        <w:spacing w:line="600" w:lineRule="exact"/>
        <w:ind w:firstLine="640" w:firstLineChars="200"/>
        <w:rPr>
          <w:rFonts w:eastAsia="仿宋_GB2312"/>
          <w:sz w:val="32"/>
          <w:szCs w:val="32"/>
        </w:rPr>
      </w:pPr>
      <w:r>
        <w:rPr>
          <w:rFonts w:hint="eastAsia" w:eastAsia="仿宋_GB2312"/>
          <w:sz w:val="32"/>
          <w:szCs w:val="32"/>
        </w:rPr>
        <w:t xml:space="preserve">1.预算编制工作有待细化。预算编制不够明确和细化，预算编制的合理性需要提高，预算执行力度还要进一步加强。 </w:t>
      </w:r>
    </w:p>
    <w:p>
      <w:pPr>
        <w:spacing w:line="600" w:lineRule="exact"/>
        <w:ind w:firstLine="640" w:firstLineChars="200"/>
        <w:rPr>
          <w:rFonts w:eastAsia="仿宋_GB2312"/>
          <w:sz w:val="32"/>
          <w:szCs w:val="32"/>
        </w:rPr>
      </w:pPr>
      <w:r>
        <w:rPr>
          <w:rFonts w:hint="eastAsia" w:eastAsia="仿宋_GB2312"/>
          <w:sz w:val="32"/>
          <w:szCs w:val="32"/>
        </w:rPr>
        <w:t>2.支出监控机制不完善，难以确保资金的有效利用。</w:t>
      </w:r>
    </w:p>
    <w:p>
      <w:pPr>
        <w:numPr>
          <w:ilvl w:val="0"/>
          <w:numId w:val="0"/>
        </w:numPr>
        <w:ind w:firstLine="640" w:firstLineChars="200"/>
        <w:rPr>
          <w:rFonts w:hint="eastAsia" w:eastAsia="仿宋_GB2312"/>
          <w:sz w:val="32"/>
          <w:szCs w:val="32"/>
        </w:rPr>
      </w:pPr>
      <w:r>
        <w:rPr>
          <w:rFonts w:hint="eastAsia" w:eastAsia="仿宋_GB2312"/>
          <w:sz w:val="32"/>
          <w:szCs w:val="32"/>
        </w:rPr>
        <w:t>3.相关人员对预算业务有待进一步加强。</w:t>
      </w:r>
    </w:p>
    <w:p>
      <w:pPr>
        <w:spacing w:line="580" w:lineRule="exact"/>
        <w:ind w:firstLine="643" w:firstLineChars="200"/>
        <w:rPr>
          <w:rFonts w:ascii="仿宋" w:hAnsi="仿宋" w:eastAsia="仿宋" w:cs="仿宋"/>
          <w:sz w:val="32"/>
          <w:szCs w:val="32"/>
        </w:rPr>
      </w:pPr>
      <w:r>
        <w:rPr>
          <w:rFonts w:hint="eastAsia" w:ascii="仿宋" w:hAnsi="仿宋" w:eastAsia="仿宋" w:cs="仿宋"/>
          <w:b/>
          <w:bCs/>
          <w:sz w:val="32"/>
          <w:szCs w:val="32"/>
        </w:rPr>
        <w:t>3、后续工作计划</w:t>
      </w:r>
    </w:p>
    <w:p>
      <w:pPr>
        <w:spacing w:line="580" w:lineRule="exact"/>
        <w:ind w:firstLine="640" w:firstLineChars="200"/>
        <w:rPr>
          <w:rFonts w:ascii="仿宋" w:hAnsi="仿宋" w:eastAsia="仿宋" w:cs="仿宋"/>
          <w:sz w:val="32"/>
          <w:szCs w:val="32"/>
        </w:rPr>
      </w:pPr>
      <w:r>
        <w:rPr>
          <w:rFonts w:hint="eastAsia" w:ascii="仿宋" w:hAnsi="仿宋" w:eastAsia="仿宋" w:cs="仿宋"/>
          <w:sz w:val="32"/>
          <w:szCs w:val="32"/>
        </w:rPr>
        <w:t>根据工作任务合理安排项目支出，提高财政资金使用效率。</w:t>
      </w:r>
    </w:p>
    <w:tbl>
      <w:tblPr>
        <w:tblStyle w:val="7"/>
        <w:tblW w:w="10764" w:type="dxa"/>
        <w:tblInd w:w="-35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500"/>
        <w:gridCol w:w="1104"/>
        <w:gridCol w:w="966"/>
        <w:gridCol w:w="1185"/>
        <w:gridCol w:w="1365"/>
        <w:gridCol w:w="1290"/>
        <w:gridCol w:w="1069"/>
        <w:gridCol w:w="1029"/>
        <w:gridCol w:w="125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500"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项目支出名称</w:t>
            </w:r>
          </w:p>
        </w:tc>
        <w:tc>
          <w:tcPr>
            <w:tcW w:w="9264" w:type="dxa"/>
            <w:gridSpan w:val="8"/>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二中校园建设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50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b/>
                <w:bCs/>
                <w:i w:val="0"/>
                <w:iCs w:val="0"/>
                <w:color w:val="000000"/>
                <w:sz w:val="20"/>
                <w:szCs w:val="20"/>
                <w:u w:val="none"/>
              </w:rPr>
            </w:pPr>
          </w:p>
        </w:tc>
        <w:tc>
          <w:tcPr>
            <w:tcW w:w="9264" w:type="dxa"/>
            <w:gridSpan w:val="8"/>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4" w:hRule="atLeast"/>
        </w:trPr>
        <w:tc>
          <w:tcPr>
            <w:tcW w:w="150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主管部门</w:t>
            </w:r>
          </w:p>
        </w:tc>
        <w:tc>
          <w:tcPr>
            <w:tcW w:w="4620" w:type="dxa"/>
            <w:gridSpan w:val="4"/>
            <w:tcBorders>
              <w:top w:val="nil"/>
              <w:left w:val="single" w:color="000000" w:sz="8" w:space="0"/>
              <w:bottom w:val="single" w:color="000000" w:sz="8" w:space="0"/>
              <w:right w:val="nil"/>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c>
          <w:tcPr>
            <w:tcW w:w="129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实施单位</w:t>
            </w:r>
          </w:p>
        </w:tc>
        <w:tc>
          <w:tcPr>
            <w:tcW w:w="3354" w:type="dxa"/>
            <w:gridSpan w:val="3"/>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江永县第二中学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1500"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项目资金(万元)</w:t>
            </w:r>
          </w:p>
        </w:tc>
        <w:tc>
          <w:tcPr>
            <w:tcW w:w="2070" w:type="dxa"/>
            <w:gridSpan w:val="2"/>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 xml:space="preserve">     资金来源</w:t>
            </w:r>
          </w:p>
        </w:tc>
        <w:tc>
          <w:tcPr>
            <w:tcW w:w="1185" w:type="dxa"/>
            <w:vMerge w:val="restart"/>
            <w:tcBorders>
              <w:top w:val="nil"/>
              <w:left w:val="single" w:color="000000" w:sz="8" w:space="0"/>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年初预算数</w:t>
            </w:r>
          </w:p>
        </w:tc>
        <w:tc>
          <w:tcPr>
            <w:tcW w:w="1365" w:type="dxa"/>
            <w:vMerge w:val="restart"/>
            <w:tcBorders>
              <w:top w:val="nil"/>
              <w:left w:val="single" w:color="000000" w:sz="8" w:space="0"/>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全年预算数</w:t>
            </w:r>
          </w:p>
        </w:tc>
        <w:tc>
          <w:tcPr>
            <w:tcW w:w="1290" w:type="dxa"/>
            <w:vMerge w:val="restart"/>
            <w:tcBorders>
              <w:top w:val="single" w:color="000000" w:sz="8" w:space="0"/>
              <w:left w:val="single" w:color="000000" w:sz="8" w:space="0"/>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全年执行数</w:t>
            </w:r>
          </w:p>
        </w:tc>
        <w:tc>
          <w:tcPr>
            <w:tcW w:w="1069"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分值</w:t>
            </w:r>
          </w:p>
        </w:tc>
        <w:tc>
          <w:tcPr>
            <w:tcW w:w="1029"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执行率</w:t>
            </w:r>
          </w:p>
        </w:tc>
        <w:tc>
          <w:tcPr>
            <w:tcW w:w="1256"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6" w:hRule="atLeast"/>
        </w:trPr>
        <w:tc>
          <w:tcPr>
            <w:tcW w:w="150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c>
          <w:tcPr>
            <w:tcW w:w="2070" w:type="dxa"/>
            <w:gridSpan w:val="2"/>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b/>
                <w:bCs/>
                <w:i w:val="0"/>
                <w:iCs w:val="0"/>
                <w:color w:val="000000"/>
                <w:sz w:val="22"/>
                <w:szCs w:val="22"/>
                <w:u w:val="none"/>
              </w:rPr>
            </w:pPr>
          </w:p>
        </w:tc>
        <w:tc>
          <w:tcPr>
            <w:tcW w:w="1185" w:type="dxa"/>
            <w:vMerge w:val="continue"/>
            <w:tcBorders>
              <w:top w:val="nil"/>
              <w:left w:val="single" w:color="000000" w:sz="8" w:space="0"/>
              <w:bottom w:val="single" w:color="000000" w:sz="8" w:space="0"/>
              <w:right w:val="nil"/>
            </w:tcBorders>
            <w:shd w:val="clear" w:color="auto" w:fill="auto"/>
            <w:vAlign w:val="center"/>
          </w:tcPr>
          <w:p>
            <w:pPr>
              <w:jc w:val="center"/>
              <w:rPr>
                <w:rFonts w:hint="eastAsia" w:ascii="微软雅黑" w:hAnsi="微软雅黑" w:eastAsia="微软雅黑" w:cs="微软雅黑"/>
                <w:b/>
                <w:bCs/>
                <w:i w:val="0"/>
                <w:iCs w:val="0"/>
                <w:color w:val="000000"/>
                <w:sz w:val="22"/>
                <w:szCs w:val="22"/>
                <w:u w:val="none"/>
              </w:rPr>
            </w:pPr>
          </w:p>
        </w:tc>
        <w:tc>
          <w:tcPr>
            <w:tcW w:w="1365" w:type="dxa"/>
            <w:vMerge w:val="continue"/>
            <w:tcBorders>
              <w:top w:val="nil"/>
              <w:left w:val="single" w:color="000000" w:sz="8" w:space="0"/>
              <w:bottom w:val="single" w:color="000000" w:sz="8" w:space="0"/>
              <w:right w:val="nil"/>
            </w:tcBorders>
            <w:shd w:val="clear" w:color="auto" w:fill="auto"/>
            <w:vAlign w:val="center"/>
          </w:tcPr>
          <w:p>
            <w:pPr>
              <w:jc w:val="center"/>
              <w:rPr>
                <w:rFonts w:hint="eastAsia" w:ascii="微软雅黑" w:hAnsi="微软雅黑" w:eastAsia="微软雅黑" w:cs="微软雅黑"/>
                <w:b/>
                <w:bCs/>
                <w:i w:val="0"/>
                <w:iCs w:val="0"/>
                <w:color w:val="000000"/>
                <w:sz w:val="22"/>
                <w:szCs w:val="22"/>
                <w:u w:val="none"/>
              </w:rPr>
            </w:pPr>
          </w:p>
        </w:tc>
        <w:tc>
          <w:tcPr>
            <w:tcW w:w="1290" w:type="dxa"/>
            <w:vMerge w:val="continue"/>
            <w:tcBorders>
              <w:top w:val="single" w:color="000000" w:sz="8" w:space="0"/>
              <w:left w:val="single" w:color="000000" w:sz="8" w:space="0"/>
              <w:bottom w:val="single" w:color="000000" w:sz="8" w:space="0"/>
              <w:right w:val="nil"/>
            </w:tcBorders>
            <w:shd w:val="clear" w:color="auto" w:fill="auto"/>
            <w:vAlign w:val="center"/>
          </w:tcPr>
          <w:p>
            <w:pPr>
              <w:jc w:val="center"/>
              <w:rPr>
                <w:rFonts w:hint="eastAsia" w:ascii="微软雅黑" w:hAnsi="微软雅黑" w:eastAsia="微软雅黑" w:cs="微软雅黑"/>
                <w:b/>
                <w:bCs/>
                <w:i w:val="0"/>
                <w:iCs w:val="0"/>
                <w:color w:val="000000"/>
                <w:sz w:val="22"/>
                <w:szCs w:val="22"/>
                <w:u w:val="none"/>
              </w:rPr>
            </w:pPr>
          </w:p>
        </w:tc>
        <w:tc>
          <w:tcPr>
            <w:tcW w:w="1069"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b/>
                <w:bCs/>
                <w:i w:val="0"/>
                <w:iCs w:val="0"/>
                <w:color w:val="000000"/>
                <w:sz w:val="22"/>
                <w:szCs w:val="22"/>
                <w:u w:val="none"/>
              </w:rPr>
            </w:pPr>
          </w:p>
        </w:tc>
        <w:tc>
          <w:tcPr>
            <w:tcW w:w="1029"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b/>
                <w:bCs/>
                <w:i w:val="0"/>
                <w:iCs w:val="0"/>
                <w:color w:val="000000"/>
                <w:sz w:val="22"/>
                <w:szCs w:val="22"/>
                <w:u w:val="none"/>
              </w:rPr>
            </w:pPr>
          </w:p>
        </w:tc>
        <w:tc>
          <w:tcPr>
            <w:tcW w:w="1256"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b/>
                <w:bCs/>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2" w:hRule="atLeast"/>
        </w:trPr>
        <w:tc>
          <w:tcPr>
            <w:tcW w:w="150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c>
          <w:tcPr>
            <w:tcW w:w="2070" w:type="dxa"/>
            <w:gridSpan w:val="2"/>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b/>
                <w:bCs/>
                <w:i w:val="0"/>
                <w:iCs w:val="0"/>
                <w:color w:val="000000"/>
                <w:sz w:val="22"/>
                <w:szCs w:val="22"/>
                <w:u w:val="none"/>
              </w:rPr>
            </w:pPr>
          </w:p>
        </w:tc>
        <w:tc>
          <w:tcPr>
            <w:tcW w:w="1185" w:type="dxa"/>
            <w:vMerge w:val="continue"/>
            <w:tcBorders>
              <w:top w:val="nil"/>
              <w:left w:val="single" w:color="000000" w:sz="8" w:space="0"/>
              <w:bottom w:val="single" w:color="000000" w:sz="8" w:space="0"/>
              <w:right w:val="nil"/>
            </w:tcBorders>
            <w:shd w:val="clear" w:color="auto" w:fill="auto"/>
            <w:vAlign w:val="center"/>
          </w:tcPr>
          <w:p>
            <w:pPr>
              <w:jc w:val="center"/>
              <w:rPr>
                <w:rFonts w:hint="eastAsia" w:ascii="微软雅黑" w:hAnsi="微软雅黑" w:eastAsia="微软雅黑" w:cs="微软雅黑"/>
                <w:b/>
                <w:bCs/>
                <w:i w:val="0"/>
                <w:iCs w:val="0"/>
                <w:color w:val="000000"/>
                <w:sz w:val="22"/>
                <w:szCs w:val="22"/>
                <w:u w:val="none"/>
              </w:rPr>
            </w:pPr>
          </w:p>
        </w:tc>
        <w:tc>
          <w:tcPr>
            <w:tcW w:w="1365" w:type="dxa"/>
            <w:vMerge w:val="continue"/>
            <w:tcBorders>
              <w:top w:val="nil"/>
              <w:left w:val="single" w:color="000000" w:sz="8" w:space="0"/>
              <w:bottom w:val="single" w:color="000000" w:sz="8" w:space="0"/>
              <w:right w:val="nil"/>
            </w:tcBorders>
            <w:shd w:val="clear" w:color="auto" w:fill="auto"/>
            <w:vAlign w:val="center"/>
          </w:tcPr>
          <w:p>
            <w:pPr>
              <w:jc w:val="center"/>
              <w:rPr>
                <w:rFonts w:hint="eastAsia" w:ascii="微软雅黑" w:hAnsi="微软雅黑" w:eastAsia="微软雅黑" w:cs="微软雅黑"/>
                <w:b/>
                <w:bCs/>
                <w:i w:val="0"/>
                <w:iCs w:val="0"/>
                <w:color w:val="000000"/>
                <w:sz w:val="22"/>
                <w:szCs w:val="22"/>
                <w:u w:val="none"/>
              </w:rPr>
            </w:pPr>
          </w:p>
        </w:tc>
        <w:tc>
          <w:tcPr>
            <w:tcW w:w="1290" w:type="dxa"/>
            <w:vMerge w:val="continue"/>
            <w:tcBorders>
              <w:top w:val="single" w:color="000000" w:sz="8" w:space="0"/>
              <w:left w:val="single" w:color="000000" w:sz="8" w:space="0"/>
              <w:bottom w:val="single" w:color="000000" w:sz="8" w:space="0"/>
              <w:right w:val="nil"/>
            </w:tcBorders>
            <w:shd w:val="clear" w:color="auto" w:fill="auto"/>
            <w:vAlign w:val="center"/>
          </w:tcPr>
          <w:p>
            <w:pPr>
              <w:jc w:val="center"/>
              <w:rPr>
                <w:rFonts w:hint="eastAsia" w:ascii="微软雅黑" w:hAnsi="微软雅黑" w:eastAsia="微软雅黑" w:cs="微软雅黑"/>
                <w:b/>
                <w:bCs/>
                <w:i w:val="0"/>
                <w:iCs w:val="0"/>
                <w:color w:val="000000"/>
                <w:sz w:val="22"/>
                <w:szCs w:val="22"/>
                <w:u w:val="none"/>
              </w:rPr>
            </w:pPr>
          </w:p>
        </w:tc>
        <w:tc>
          <w:tcPr>
            <w:tcW w:w="1069"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b/>
                <w:bCs/>
                <w:i w:val="0"/>
                <w:iCs w:val="0"/>
                <w:color w:val="000000"/>
                <w:sz w:val="22"/>
                <w:szCs w:val="22"/>
                <w:u w:val="none"/>
              </w:rPr>
            </w:pPr>
          </w:p>
        </w:tc>
        <w:tc>
          <w:tcPr>
            <w:tcW w:w="1029"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b/>
                <w:bCs/>
                <w:i w:val="0"/>
                <w:iCs w:val="0"/>
                <w:color w:val="000000"/>
                <w:sz w:val="22"/>
                <w:szCs w:val="22"/>
                <w:u w:val="none"/>
              </w:rPr>
            </w:pPr>
          </w:p>
        </w:tc>
        <w:tc>
          <w:tcPr>
            <w:tcW w:w="1256"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b/>
                <w:bCs/>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4" w:hRule="atLeast"/>
        </w:trPr>
        <w:tc>
          <w:tcPr>
            <w:tcW w:w="150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c>
          <w:tcPr>
            <w:tcW w:w="2070"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其中:当年财政拨款</w:t>
            </w:r>
          </w:p>
        </w:tc>
        <w:tc>
          <w:tcPr>
            <w:tcW w:w="1185" w:type="dxa"/>
            <w:tcBorders>
              <w:top w:val="nil"/>
              <w:left w:val="single" w:color="000000" w:sz="8" w:space="0"/>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w:t>
            </w:r>
          </w:p>
        </w:tc>
        <w:tc>
          <w:tcPr>
            <w:tcW w:w="1365" w:type="dxa"/>
            <w:tcBorders>
              <w:top w:val="nil"/>
              <w:left w:val="single" w:color="000000" w:sz="8" w:space="0"/>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650</w:t>
            </w:r>
          </w:p>
        </w:tc>
        <w:tc>
          <w:tcPr>
            <w:tcW w:w="1290" w:type="dxa"/>
            <w:tcBorders>
              <w:top w:val="nil"/>
              <w:left w:val="single" w:color="000000" w:sz="8" w:space="0"/>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650</w:t>
            </w:r>
          </w:p>
        </w:tc>
        <w:tc>
          <w:tcPr>
            <w:tcW w:w="1069"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1029" w:type="dxa"/>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c>
          <w:tcPr>
            <w:tcW w:w="1256"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4" w:hRule="atLeast"/>
        </w:trPr>
        <w:tc>
          <w:tcPr>
            <w:tcW w:w="150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c>
          <w:tcPr>
            <w:tcW w:w="2070"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上年结转金额</w:t>
            </w:r>
          </w:p>
        </w:tc>
        <w:tc>
          <w:tcPr>
            <w:tcW w:w="1185" w:type="dxa"/>
            <w:tcBorders>
              <w:top w:val="nil"/>
              <w:left w:val="single" w:color="000000" w:sz="8" w:space="0"/>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w:t>
            </w:r>
          </w:p>
        </w:tc>
        <w:tc>
          <w:tcPr>
            <w:tcW w:w="1365" w:type="dxa"/>
            <w:tcBorders>
              <w:top w:val="nil"/>
              <w:left w:val="single" w:color="000000" w:sz="8" w:space="0"/>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w:t>
            </w:r>
          </w:p>
        </w:tc>
        <w:tc>
          <w:tcPr>
            <w:tcW w:w="1290" w:type="dxa"/>
            <w:tcBorders>
              <w:top w:val="nil"/>
              <w:left w:val="single" w:color="000000" w:sz="8" w:space="0"/>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w:t>
            </w:r>
          </w:p>
        </w:tc>
        <w:tc>
          <w:tcPr>
            <w:tcW w:w="1069"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1029" w:type="dxa"/>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c>
          <w:tcPr>
            <w:tcW w:w="1256"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4" w:hRule="atLeast"/>
        </w:trPr>
        <w:tc>
          <w:tcPr>
            <w:tcW w:w="150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c>
          <w:tcPr>
            <w:tcW w:w="2070"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其它资金</w:t>
            </w:r>
          </w:p>
        </w:tc>
        <w:tc>
          <w:tcPr>
            <w:tcW w:w="1185" w:type="dxa"/>
            <w:tcBorders>
              <w:top w:val="nil"/>
              <w:left w:val="single" w:color="000000" w:sz="8" w:space="0"/>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w:t>
            </w:r>
          </w:p>
        </w:tc>
        <w:tc>
          <w:tcPr>
            <w:tcW w:w="1365" w:type="dxa"/>
            <w:tcBorders>
              <w:top w:val="nil"/>
              <w:left w:val="single" w:color="000000" w:sz="8" w:space="0"/>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w:t>
            </w:r>
          </w:p>
        </w:tc>
        <w:tc>
          <w:tcPr>
            <w:tcW w:w="1290" w:type="dxa"/>
            <w:tcBorders>
              <w:top w:val="nil"/>
              <w:left w:val="single" w:color="000000" w:sz="8" w:space="0"/>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w:t>
            </w:r>
          </w:p>
        </w:tc>
        <w:tc>
          <w:tcPr>
            <w:tcW w:w="1069"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1029" w:type="dxa"/>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c>
          <w:tcPr>
            <w:tcW w:w="1256"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4" w:hRule="atLeast"/>
        </w:trPr>
        <w:tc>
          <w:tcPr>
            <w:tcW w:w="150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c>
          <w:tcPr>
            <w:tcW w:w="2070"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年度资金总额</w:t>
            </w:r>
          </w:p>
        </w:tc>
        <w:tc>
          <w:tcPr>
            <w:tcW w:w="1185" w:type="dxa"/>
            <w:tcBorders>
              <w:top w:val="nil"/>
              <w:left w:val="single" w:color="000000" w:sz="8" w:space="0"/>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w:t>
            </w:r>
          </w:p>
        </w:tc>
        <w:tc>
          <w:tcPr>
            <w:tcW w:w="1365" w:type="dxa"/>
            <w:tcBorders>
              <w:top w:val="nil"/>
              <w:left w:val="single" w:color="000000" w:sz="8" w:space="0"/>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650</w:t>
            </w:r>
          </w:p>
        </w:tc>
        <w:tc>
          <w:tcPr>
            <w:tcW w:w="1290" w:type="dxa"/>
            <w:tcBorders>
              <w:top w:val="nil"/>
              <w:left w:val="single" w:color="000000" w:sz="8" w:space="0"/>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650</w:t>
            </w:r>
          </w:p>
        </w:tc>
        <w:tc>
          <w:tcPr>
            <w:tcW w:w="1069"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1029"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100.00%</w:t>
            </w:r>
          </w:p>
        </w:tc>
        <w:tc>
          <w:tcPr>
            <w:tcW w:w="1256"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6" w:hRule="atLeast"/>
        </w:trPr>
        <w:tc>
          <w:tcPr>
            <w:tcW w:w="1500"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年度总体目标</w:t>
            </w:r>
          </w:p>
        </w:tc>
        <w:tc>
          <w:tcPr>
            <w:tcW w:w="4620" w:type="dxa"/>
            <w:gridSpan w:val="4"/>
            <w:tcBorders>
              <w:top w:val="nil"/>
              <w:left w:val="single" w:color="000000" w:sz="8" w:space="0"/>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预期目标</w:t>
            </w:r>
          </w:p>
        </w:tc>
        <w:tc>
          <w:tcPr>
            <w:tcW w:w="4644" w:type="dxa"/>
            <w:gridSpan w:val="4"/>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实际完成情况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50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b/>
                <w:bCs/>
                <w:i w:val="0"/>
                <w:iCs w:val="0"/>
                <w:color w:val="000000"/>
                <w:sz w:val="20"/>
                <w:szCs w:val="20"/>
                <w:u w:val="none"/>
              </w:rPr>
            </w:pPr>
          </w:p>
        </w:tc>
        <w:tc>
          <w:tcPr>
            <w:tcW w:w="4620" w:type="dxa"/>
            <w:gridSpan w:val="4"/>
            <w:vMerge w:val="restart"/>
            <w:tcBorders>
              <w:top w:val="nil"/>
              <w:left w:val="single" w:color="000000" w:sz="8" w:space="0"/>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按照国家政策法规规定和本单位实际情况，建立健全财务基础管理制度和约束机制，依法有效地使用财政资金，提高财政资金使用效率。</w:t>
            </w:r>
          </w:p>
        </w:tc>
        <w:tc>
          <w:tcPr>
            <w:tcW w:w="4644" w:type="dxa"/>
            <w:gridSpan w:val="4"/>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全面完成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50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b/>
                <w:bCs/>
                <w:i w:val="0"/>
                <w:iCs w:val="0"/>
                <w:color w:val="000000"/>
                <w:sz w:val="20"/>
                <w:szCs w:val="20"/>
                <w:u w:val="none"/>
              </w:rPr>
            </w:pPr>
          </w:p>
        </w:tc>
        <w:tc>
          <w:tcPr>
            <w:tcW w:w="4620" w:type="dxa"/>
            <w:gridSpan w:val="4"/>
            <w:vMerge w:val="continue"/>
            <w:tcBorders>
              <w:top w:val="nil"/>
              <w:left w:val="single" w:color="000000" w:sz="8" w:space="0"/>
              <w:bottom w:val="single" w:color="000000" w:sz="8" w:space="0"/>
              <w:right w:val="nil"/>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c>
          <w:tcPr>
            <w:tcW w:w="4644" w:type="dxa"/>
            <w:gridSpan w:val="4"/>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50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b/>
                <w:bCs/>
                <w:i w:val="0"/>
                <w:iCs w:val="0"/>
                <w:color w:val="000000"/>
                <w:sz w:val="20"/>
                <w:szCs w:val="20"/>
                <w:u w:val="none"/>
              </w:rPr>
            </w:pPr>
          </w:p>
        </w:tc>
        <w:tc>
          <w:tcPr>
            <w:tcW w:w="4620" w:type="dxa"/>
            <w:gridSpan w:val="4"/>
            <w:vMerge w:val="continue"/>
            <w:tcBorders>
              <w:top w:val="nil"/>
              <w:left w:val="single" w:color="000000" w:sz="8" w:space="0"/>
              <w:bottom w:val="single" w:color="000000" w:sz="8" w:space="0"/>
              <w:right w:val="nil"/>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c>
          <w:tcPr>
            <w:tcW w:w="4644" w:type="dxa"/>
            <w:gridSpan w:val="4"/>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2" w:hRule="atLeast"/>
        </w:trPr>
        <w:tc>
          <w:tcPr>
            <w:tcW w:w="1500"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绩效指标</w:t>
            </w:r>
          </w:p>
        </w:tc>
        <w:tc>
          <w:tcPr>
            <w:tcW w:w="1104"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一级指标</w:t>
            </w:r>
          </w:p>
        </w:tc>
        <w:tc>
          <w:tcPr>
            <w:tcW w:w="966"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二级指标</w:t>
            </w:r>
          </w:p>
        </w:tc>
        <w:tc>
          <w:tcPr>
            <w:tcW w:w="1185"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三级指标</w:t>
            </w:r>
          </w:p>
        </w:tc>
        <w:tc>
          <w:tcPr>
            <w:tcW w:w="1365" w:type="dxa"/>
            <w:vMerge w:val="restart"/>
            <w:tcBorders>
              <w:top w:val="nil"/>
              <w:left w:val="nil"/>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年度指标值</w:t>
            </w:r>
          </w:p>
        </w:tc>
        <w:tc>
          <w:tcPr>
            <w:tcW w:w="1290" w:type="dxa"/>
            <w:vMerge w:val="restart"/>
            <w:tcBorders>
              <w:top w:val="nil"/>
              <w:left w:val="single" w:color="000000" w:sz="8" w:space="0"/>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实际完成值</w:t>
            </w:r>
          </w:p>
        </w:tc>
        <w:tc>
          <w:tcPr>
            <w:tcW w:w="1069"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分值</w:t>
            </w:r>
          </w:p>
        </w:tc>
        <w:tc>
          <w:tcPr>
            <w:tcW w:w="1029"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得分</w:t>
            </w:r>
          </w:p>
        </w:tc>
        <w:tc>
          <w:tcPr>
            <w:tcW w:w="1256"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2" w:hRule="atLeast"/>
        </w:trPr>
        <w:tc>
          <w:tcPr>
            <w:tcW w:w="150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2"/>
                <w:szCs w:val="22"/>
                <w:u w:val="none"/>
              </w:rPr>
            </w:pPr>
          </w:p>
        </w:tc>
        <w:tc>
          <w:tcPr>
            <w:tcW w:w="1104"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b/>
                <w:bCs/>
                <w:i w:val="0"/>
                <w:iCs w:val="0"/>
                <w:color w:val="000000"/>
                <w:sz w:val="22"/>
                <w:szCs w:val="22"/>
                <w:u w:val="none"/>
              </w:rPr>
            </w:pPr>
          </w:p>
        </w:tc>
        <w:tc>
          <w:tcPr>
            <w:tcW w:w="966"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b/>
                <w:bCs/>
                <w:i w:val="0"/>
                <w:iCs w:val="0"/>
                <w:color w:val="000000"/>
                <w:sz w:val="22"/>
                <w:szCs w:val="22"/>
                <w:u w:val="none"/>
              </w:rPr>
            </w:pPr>
          </w:p>
        </w:tc>
        <w:tc>
          <w:tcPr>
            <w:tcW w:w="1185"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b/>
                <w:bCs/>
                <w:i w:val="0"/>
                <w:iCs w:val="0"/>
                <w:color w:val="000000"/>
                <w:sz w:val="22"/>
                <w:szCs w:val="22"/>
                <w:u w:val="none"/>
              </w:rPr>
            </w:pPr>
          </w:p>
        </w:tc>
        <w:tc>
          <w:tcPr>
            <w:tcW w:w="1365" w:type="dxa"/>
            <w:vMerge w:val="continue"/>
            <w:tcBorders>
              <w:top w:val="nil"/>
              <w:left w:val="nil"/>
              <w:bottom w:val="single" w:color="000000" w:sz="8" w:space="0"/>
              <w:right w:val="nil"/>
            </w:tcBorders>
            <w:shd w:val="clear" w:color="auto" w:fill="auto"/>
            <w:vAlign w:val="center"/>
          </w:tcPr>
          <w:p>
            <w:pPr>
              <w:jc w:val="center"/>
              <w:rPr>
                <w:rFonts w:hint="eastAsia" w:ascii="微软雅黑" w:hAnsi="微软雅黑" w:eastAsia="微软雅黑" w:cs="微软雅黑"/>
                <w:b/>
                <w:bCs/>
                <w:i w:val="0"/>
                <w:iCs w:val="0"/>
                <w:color w:val="000000"/>
                <w:sz w:val="22"/>
                <w:szCs w:val="22"/>
                <w:u w:val="none"/>
              </w:rPr>
            </w:pPr>
          </w:p>
        </w:tc>
        <w:tc>
          <w:tcPr>
            <w:tcW w:w="1290" w:type="dxa"/>
            <w:vMerge w:val="continue"/>
            <w:tcBorders>
              <w:top w:val="nil"/>
              <w:left w:val="single" w:color="000000" w:sz="8" w:space="0"/>
              <w:bottom w:val="single" w:color="000000" w:sz="8" w:space="0"/>
              <w:right w:val="nil"/>
            </w:tcBorders>
            <w:shd w:val="clear" w:color="auto" w:fill="auto"/>
            <w:vAlign w:val="center"/>
          </w:tcPr>
          <w:p>
            <w:pPr>
              <w:jc w:val="center"/>
              <w:rPr>
                <w:rFonts w:hint="eastAsia" w:ascii="微软雅黑" w:hAnsi="微软雅黑" w:eastAsia="微软雅黑" w:cs="微软雅黑"/>
                <w:b/>
                <w:bCs/>
                <w:i w:val="0"/>
                <w:iCs w:val="0"/>
                <w:color w:val="000000"/>
                <w:sz w:val="22"/>
                <w:szCs w:val="22"/>
                <w:u w:val="none"/>
              </w:rPr>
            </w:pPr>
          </w:p>
        </w:tc>
        <w:tc>
          <w:tcPr>
            <w:tcW w:w="1069"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b/>
                <w:bCs/>
                <w:i w:val="0"/>
                <w:iCs w:val="0"/>
                <w:color w:val="000000"/>
                <w:sz w:val="22"/>
                <w:szCs w:val="22"/>
                <w:u w:val="none"/>
              </w:rPr>
            </w:pPr>
          </w:p>
        </w:tc>
        <w:tc>
          <w:tcPr>
            <w:tcW w:w="1029"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b/>
                <w:bCs/>
                <w:i w:val="0"/>
                <w:iCs w:val="0"/>
                <w:color w:val="000000"/>
                <w:sz w:val="22"/>
                <w:szCs w:val="22"/>
                <w:u w:val="none"/>
              </w:rPr>
            </w:pPr>
          </w:p>
        </w:tc>
        <w:tc>
          <w:tcPr>
            <w:tcW w:w="1256"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b/>
                <w:bCs/>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4" w:hRule="atLeast"/>
        </w:trPr>
        <w:tc>
          <w:tcPr>
            <w:tcW w:w="150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2"/>
                <w:szCs w:val="22"/>
                <w:u w:val="none"/>
              </w:rPr>
            </w:pPr>
          </w:p>
        </w:tc>
        <w:tc>
          <w:tcPr>
            <w:tcW w:w="1104"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b/>
                <w:bCs/>
                <w:i w:val="0"/>
                <w:iCs w:val="0"/>
                <w:color w:val="000000"/>
                <w:sz w:val="22"/>
                <w:szCs w:val="22"/>
                <w:u w:val="none"/>
              </w:rPr>
            </w:pPr>
          </w:p>
        </w:tc>
        <w:tc>
          <w:tcPr>
            <w:tcW w:w="966"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b/>
                <w:bCs/>
                <w:i w:val="0"/>
                <w:iCs w:val="0"/>
                <w:color w:val="000000"/>
                <w:sz w:val="22"/>
                <w:szCs w:val="22"/>
                <w:u w:val="none"/>
              </w:rPr>
            </w:pPr>
          </w:p>
        </w:tc>
        <w:tc>
          <w:tcPr>
            <w:tcW w:w="1185"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b/>
                <w:bCs/>
                <w:i w:val="0"/>
                <w:iCs w:val="0"/>
                <w:color w:val="000000"/>
                <w:sz w:val="22"/>
                <w:szCs w:val="22"/>
                <w:u w:val="none"/>
              </w:rPr>
            </w:pPr>
          </w:p>
        </w:tc>
        <w:tc>
          <w:tcPr>
            <w:tcW w:w="1365" w:type="dxa"/>
            <w:vMerge w:val="continue"/>
            <w:tcBorders>
              <w:top w:val="nil"/>
              <w:left w:val="nil"/>
              <w:bottom w:val="single" w:color="000000" w:sz="8" w:space="0"/>
              <w:right w:val="nil"/>
            </w:tcBorders>
            <w:shd w:val="clear" w:color="auto" w:fill="auto"/>
            <w:vAlign w:val="center"/>
          </w:tcPr>
          <w:p>
            <w:pPr>
              <w:jc w:val="center"/>
              <w:rPr>
                <w:rFonts w:hint="eastAsia" w:ascii="微软雅黑" w:hAnsi="微软雅黑" w:eastAsia="微软雅黑" w:cs="微软雅黑"/>
                <w:b/>
                <w:bCs/>
                <w:i w:val="0"/>
                <w:iCs w:val="0"/>
                <w:color w:val="000000"/>
                <w:sz w:val="22"/>
                <w:szCs w:val="22"/>
                <w:u w:val="none"/>
              </w:rPr>
            </w:pPr>
          </w:p>
        </w:tc>
        <w:tc>
          <w:tcPr>
            <w:tcW w:w="1290" w:type="dxa"/>
            <w:vMerge w:val="continue"/>
            <w:tcBorders>
              <w:top w:val="nil"/>
              <w:left w:val="single" w:color="000000" w:sz="8" w:space="0"/>
              <w:bottom w:val="single" w:color="000000" w:sz="8" w:space="0"/>
              <w:right w:val="nil"/>
            </w:tcBorders>
            <w:shd w:val="clear" w:color="auto" w:fill="auto"/>
            <w:vAlign w:val="center"/>
          </w:tcPr>
          <w:p>
            <w:pPr>
              <w:jc w:val="center"/>
              <w:rPr>
                <w:rFonts w:hint="eastAsia" w:ascii="微软雅黑" w:hAnsi="微软雅黑" w:eastAsia="微软雅黑" w:cs="微软雅黑"/>
                <w:b/>
                <w:bCs/>
                <w:i w:val="0"/>
                <w:iCs w:val="0"/>
                <w:color w:val="000000"/>
                <w:sz w:val="22"/>
                <w:szCs w:val="22"/>
                <w:u w:val="none"/>
              </w:rPr>
            </w:pPr>
          </w:p>
        </w:tc>
        <w:tc>
          <w:tcPr>
            <w:tcW w:w="1069"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b/>
                <w:bCs/>
                <w:i w:val="0"/>
                <w:iCs w:val="0"/>
                <w:color w:val="000000"/>
                <w:sz w:val="22"/>
                <w:szCs w:val="22"/>
                <w:u w:val="none"/>
              </w:rPr>
            </w:pPr>
          </w:p>
        </w:tc>
        <w:tc>
          <w:tcPr>
            <w:tcW w:w="1029"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b/>
                <w:bCs/>
                <w:i w:val="0"/>
                <w:iCs w:val="0"/>
                <w:color w:val="000000"/>
                <w:sz w:val="22"/>
                <w:szCs w:val="22"/>
                <w:u w:val="none"/>
              </w:rPr>
            </w:pPr>
          </w:p>
        </w:tc>
        <w:tc>
          <w:tcPr>
            <w:tcW w:w="1256"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b/>
                <w:bCs/>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6" w:hRule="atLeast"/>
        </w:trPr>
        <w:tc>
          <w:tcPr>
            <w:tcW w:w="150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2"/>
                <w:szCs w:val="22"/>
                <w:u w:val="none"/>
              </w:rPr>
            </w:pPr>
          </w:p>
        </w:tc>
        <w:tc>
          <w:tcPr>
            <w:tcW w:w="1104"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产出指标</w:t>
            </w:r>
          </w:p>
        </w:tc>
        <w:tc>
          <w:tcPr>
            <w:tcW w:w="966"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数量指标</w:t>
            </w:r>
          </w:p>
        </w:tc>
        <w:tc>
          <w:tcPr>
            <w:tcW w:w="118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科技楼建设</w:t>
            </w:r>
          </w:p>
        </w:tc>
        <w:tc>
          <w:tcPr>
            <w:tcW w:w="1365" w:type="dxa"/>
            <w:tcBorders>
              <w:top w:val="nil"/>
              <w:left w:val="nil"/>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1栋</w:t>
            </w:r>
          </w:p>
        </w:tc>
        <w:tc>
          <w:tcPr>
            <w:tcW w:w="1290" w:type="dxa"/>
            <w:tcBorders>
              <w:top w:val="nil"/>
              <w:left w:val="single" w:color="000000" w:sz="8" w:space="0"/>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1栋</w:t>
            </w:r>
          </w:p>
        </w:tc>
        <w:tc>
          <w:tcPr>
            <w:tcW w:w="1069"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1029"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10.00</w:t>
            </w:r>
          </w:p>
        </w:tc>
        <w:tc>
          <w:tcPr>
            <w:tcW w:w="1256" w:type="dxa"/>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6" w:hRule="atLeast"/>
        </w:trPr>
        <w:tc>
          <w:tcPr>
            <w:tcW w:w="150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2"/>
                <w:szCs w:val="22"/>
                <w:u w:val="none"/>
              </w:rPr>
            </w:pPr>
          </w:p>
        </w:tc>
        <w:tc>
          <w:tcPr>
            <w:tcW w:w="1104"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c>
          <w:tcPr>
            <w:tcW w:w="966"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c>
          <w:tcPr>
            <w:tcW w:w="118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宿舍楼建设</w:t>
            </w:r>
          </w:p>
        </w:tc>
        <w:tc>
          <w:tcPr>
            <w:tcW w:w="1365" w:type="dxa"/>
            <w:tcBorders>
              <w:top w:val="nil"/>
              <w:left w:val="nil"/>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1栋</w:t>
            </w:r>
          </w:p>
        </w:tc>
        <w:tc>
          <w:tcPr>
            <w:tcW w:w="1290" w:type="dxa"/>
            <w:tcBorders>
              <w:top w:val="nil"/>
              <w:left w:val="single" w:color="000000" w:sz="8" w:space="0"/>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1栋</w:t>
            </w:r>
          </w:p>
        </w:tc>
        <w:tc>
          <w:tcPr>
            <w:tcW w:w="1069"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1029"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10.00</w:t>
            </w:r>
          </w:p>
        </w:tc>
        <w:tc>
          <w:tcPr>
            <w:tcW w:w="1256" w:type="dxa"/>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6" w:hRule="atLeast"/>
        </w:trPr>
        <w:tc>
          <w:tcPr>
            <w:tcW w:w="150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2"/>
                <w:szCs w:val="22"/>
                <w:u w:val="none"/>
              </w:rPr>
            </w:pPr>
          </w:p>
        </w:tc>
        <w:tc>
          <w:tcPr>
            <w:tcW w:w="1104"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c>
          <w:tcPr>
            <w:tcW w:w="966"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质量指标</w:t>
            </w:r>
          </w:p>
        </w:tc>
        <w:tc>
          <w:tcPr>
            <w:tcW w:w="118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校园系统完成率</w:t>
            </w:r>
          </w:p>
        </w:tc>
        <w:tc>
          <w:tcPr>
            <w:tcW w:w="1365" w:type="dxa"/>
            <w:tcBorders>
              <w:top w:val="nil"/>
              <w:left w:val="nil"/>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w:t>
            </w:r>
          </w:p>
        </w:tc>
        <w:tc>
          <w:tcPr>
            <w:tcW w:w="1290" w:type="dxa"/>
            <w:tcBorders>
              <w:top w:val="nil"/>
              <w:left w:val="single" w:color="000000" w:sz="8" w:space="0"/>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w:t>
            </w:r>
          </w:p>
        </w:tc>
        <w:tc>
          <w:tcPr>
            <w:tcW w:w="1069"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w:t>
            </w:r>
          </w:p>
        </w:tc>
        <w:tc>
          <w:tcPr>
            <w:tcW w:w="1029"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5.00</w:t>
            </w:r>
          </w:p>
        </w:tc>
        <w:tc>
          <w:tcPr>
            <w:tcW w:w="1256" w:type="dxa"/>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6" w:hRule="atLeast"/>
        </w:trPr>
        <w:tc>
          <w:tcPr>
            <w:tcW w:w="150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2"/>
                <w:szCs w:val="22"/>
                <w:u w:val="none"/>
              </w:rPr>
            </w:pPr>
          </w:p>
        </w:tc>
        <w:tc>
          <w:tcPr>
            <w:tcW w:w="1104"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c>
          <w:tcPr>
            <w:tcW w:w="966"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时效指标</w:t>
            </w:r>
          </w:p>
        </w:tc>
        <w:tc>
          <w:tcPr>
            <w:tcW w:w="118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完成时间</w:t>
            </w:r>
          </w:p>
        </w:tc>
        <w:tc>
          <w:tcPr>
            <w:tcW w:w="1365" w:type="dxa"/>
            <w:tcBorders>
              <w:top w:val="nil"/>
              <w:left w:val="nil"/>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2023年内完成</w:t>
            </w:r>
          </w:p>
        </w:tc>
        <w:tc>
          <w:tcPr>
            <w:tcW w:w="1290" w:type="dxa"/>
            <w:tcBorders>
              <w:top w:val="nil"/>
              <w:left w:val="single" w:color="000000" w:sz="8" w:space="0"/>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2023年内完成</w:t>
            </w:r>
          </w:p>
        </w:tc>
        <w:tc>
          <w:tcPr>
            <w:tcW w:w="1069"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1029"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10.00</w:t>
            </w:r>
          </w:p>
        </w:tc>
        <w:tc>
          <w:tcPr>
            <w:tcW w:w="1256" w:type="dxa"/>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6" w:hRule="atLeast"/>
        </w:trPr>
        <w:tc>
          <w:tcPr>
            <w:tcW w:w="150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2"/>
                <w:szCs w:val="22"/>
                <w:u w:val="none"/>
              </w:rPr>
            </w:pPr>
          </w:p>
        </w:tc>
        <w:tc>
          <w:tcPr>
            <w:tcW w:w="1104"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效益指标</w:t>
            </w:r>
          </w:p>
        </w:tc>
        <w:tc>
          <w:tcPr>
            <w:tcW w:w="966"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经济效益指标</w:t>
            </w:r>
          </w:p>
        </w:tc>
        <w:tc>
          <w:tcPr>
            <w:tcW w:w="118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提高教师队伍生活质量</w:t>
            </w:r>
          </w:p>
        </w:tc>
        <w:tc>
          <w:tcPr>
            <w:tcW w:w="1365" w:type="dxa"/>
            <w:tcBorders>
              <w:top w:val="nil"/>
              <w:left w:val="nil"/>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提高教师队伍生活质量</w:t>
            </w:r>
          </w:p>
        </w:tc>
        <w:tc>
          <w:tcPr>
            <w:tcW w:w="1290" w:type="dxa"/>
            <w:tcBorders>
              <w:top w:val="nil"/>
              <w:left w:val="single" w:color="000000" w:sz="8" w:space="0"/>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提高教师队伍生活质量</w:t>
            </w:r>
          </w:p>
        </w:tc>
        <w:tc>
          <w:tcPr>
            <w:tcW w:w="1069"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1029"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10.00</w:t>
            </w:r>
          </w:p>
        </w:tc>
        <w:tc>
          <w:tcPr>
            <w:tcW w:w="1256" w:type="dxa"/>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6" w:hRule="atLeast"/>
        </w:trPr>
        <w:tc>
          <w:tcPr>
            <w:tcW w:w="150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2"/>
                <w:szCs w:val="22"/>
                <w:u w:val="none"/>
              </w:rPr>
            </w:pPr>
          </w:p>
        </w:tc>
        <w:tc>
          <w:tcPr>
            <w:tcW w:w="1104"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c>
          <w:tcPr>
            <w:tcW w:w="966"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社会效益指标</w:t>
            </w:r>
          </w:p>
        </w:tc>
        <w:tc>
          <w:tcPr>
            <w:tcW w:w="118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促进全体学生全面发展</w:t>
            </w:r>
          </w:p>
        </w:tc>
        <w:tc>
          <w:tcPr>
            <w:tcW w:w="1365" w:type="dxa"/>
            <w:tcBorders>
              <w:top w:val="nil"/>
              <w:left w:val="nil"/>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促进全体学生全面发展</w:t>
            </w:r>
          </w:p>
        </w:tc>
        <w:tc>
          <w:tcPr>
            <w:tcW w:w="1290" w:type="dxa"/>
            <w:tcBorders>
              <w:top w:val="nil"/>
              <w:left w:val="single" w:color="000000" w:sz="8" w:space="0"/>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促进全体学生全面发展</w:t>
            </w:r>
          </w:p>
        </w:tc>
        <w:tc>
          <w:tcPr>
            <w:tcW w:w="1069"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1029"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10.00</w:t>
            </w:r>
          </w:p>
        </w:tc>
        <w:tc>
          <w:tcPr>
            <w:tcW w:w="1256" w:type="dxa"/>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6" w:hRule="atLeast"/>
        </w:trPr>
        <w:tc>
          <w:tcPr>
            <w:tcW w:w="150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2"/>
                <w:szCs w:val="22"/>
                <w:u w:val="none"/>
              </w:rPr>
            </w:pPr>
          </w:p>
        </w:tc>
        <w:tc>
          <w:tcPr>
            <w:tcW w:w="1104"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c>
          <w:tcPr>
            <w:tcW w:w="966"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生态效益指标</w:t>
            </w:r>
          </w:p>
        </w:tc>
        <w:tc>
          <w:tcPr>
            <w:tcW w:w="118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校园环境改善</w:t>
            </w:r>
          </w:p>
        </w:tc>
        <w:tc>
          <w:tcPr>
            <w:tcW w:w="1365" w:type="dxa"/>
            <w:tcBorders>
              <w:top w:val="nil"/>
              <w:left w:val="nil"/>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改善</w:t>
            </w:r>
          </w:p>
        </w:tc>
        <w:tc>
          <w:tcPr>
            <w:tcW w:w="1290" w:type="dxa"/>
            <w:tcBorders>
              <w:top w:val="nil"/>
              <w:left w:val="single" w:color="000000" w:sz="8" w:space="0"/>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改善</w:t>
            </w:r>
          </w:p>
        </w:tc>
        <w:tc>
          <w:tcPr>
            <w:tcW w:w="1069"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w:t>
            </w:r>
          </w:p>
        </w:tc>
        <w:tc>
          <w:tcPr>
            <w:tcW w:w="1029"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5.00</w:t>
            </w:r>
          </w:p>
        </w:tc>
        <w:tc>
          <w:tcPr>
            <w:tcW w:w="1256" w:type="dxa"/>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6" w:hRule="atLeast"/>
        </w:trPr>
        <w:tc>
          <w:tcPr>
            <w:tcW w:w="150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2"/>
                <w:szCs w:val="22"/>
                <w:u w:val="none"/>
              </w:rPr>
            </w:pPr>
          </w:p>
        </w:tc>
        <w:tc>
          <w:tcPr>
            <w:tcW w:w="1104"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c>
          <w:tcPr>
            <w:tcW w:w="966"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可持续影响指标</w:t>
            </w:r>
          </w:p>
        </w:tc>
        <w:tc>
          <w:tcPr>
            <w:tcW w:w="1185" w:type="dxa"/>
            <w:tcBorders>
              <w:top w:val="nil"/>
              <w:left w:val="single" w:color="000000" w:sz="8" w:space="0"/>
              <w:bottom w:val="single" w:color="000000" w:sz="8" w:space="0"/>
              <w:right w:val="single" w:color="000000" w:sz="8" w:space="0"/>
            </w:tcBorders>
            <w:shd w:val="clear" w:color="auto" w:fill="auto"/>
            <w:vAlign w:val="center"/>
          </w:tcPr>
          <w:p>
            <w:pPr>
              <w:rPr>
                <w:rFonts w:hint="eastAsia" w:ascii="微软雅黑" w:hAnsi="微软雅黑" w:eastAsia="微软雅黑" w:cs="微软雅黑"/>
                <w:i w:val="0"/>
                <w:iCs w:val="0"/>
                <w:color w:val="000000"/>
                <w:sz w:val="20"/>
                <w:szCs w:val="20"/>
                <w:u w:val="none"/>
              </w:rPr>
            </w:pPr>
          </w:p>
        </w:tc>
        <w:tc>
          <w:tcPr>
            <w:tcW w:w="1365" w:type="dxa"/>
            <w:tcBorders>
              <w:top w:val="nil"/>
              <w:left w:val="nil"/>
              <w:bottom w:val="single" w:color="000000" w:sz="8" w:space="0"/>
              <w:right w:val="nil"/>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c>
          <w:tcPr>
            <w:tcW w:w="1290" w:type="dxa"/>
            <w:tcBorders>
              <w:top w:val="nil"/>
              <w:left w:val="single" w:color="000000" w:sz="8" w:space="0"/>
              <w:bottom w:val="single" w:color="000000" w:sz="8" w:space="0"/>
              <w:right w:val="nil"/>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c>
          <w:tcPr>
            <w:tcW w:w="1069" w:type="dxa"/>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c>
          <w:tcPr>
            <w:tcW w:w="1029" w:type="dxa"/>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c>
          <w:tcPr>
            <w:tcW w:w="1256" w:type="dxa"/>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6" w:hRule="atLeast"/>
        </w:trPr>
        <w:tc>
          <w:tcPr>
            <w:tcW w:w="150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2"/>
                <w:szCs w:val="22"/>
                <w:u w:val="none"/>
              </w:rPr>
            </w:pPr>
          </w:p>
        </w:tc>
        <w:tc>
          <w:tcPr>
            <w:tcW w:w="110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满意度指标</w:t>
            </w:r>
          </w:p>
        </w:tc>
        <w:tc>
          <w:tcPr>
            <w:tcW w:w="966"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服务对象满意度指标</w:t>
            </w:r>
          </w:p>
        </w:tc>
        <w:tc>
          <w:tcPr>
            <w:tcW w:w="118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家长满意度</w:t>
            </w:r>
          </w:p>
        </w:tc>
        <w:tc>
          <w:tcPr>
            <w:tcW w:w="1365" w:type="dxa"/>
            <w:tcBorders>
              <w:top w:val="nil"/>
              <w:left w:val="nil"/>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&gt;=100%</w:t>
            </w:r>
          </w:p>
        </w:tc>
        <w:tc>
          <w:tcPr>
            <w:tcW w:w="1290" w:type="dxa"/>
            <w:tcBorders>
              <w:top w:val="nil"/>
              <w:left w:val="single" w:color="000000" w:sz="8" w:space="0"/>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94%</w:t>
            </w:r>
          </w:p>
        </w:tc>
        <w:tc>
          <w:tcPr>
            <w:tcW w:w="1069"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w:t>
            </w:r>
          </w:p>
        </w:tc>
        <w:tc>
          <w:tcPr>
            <w:tcW w:w="1029"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4.00</w:t>
            </w:r>
          </w:p>
        </w:tc>
        <w:tc>
          <w:tcPr>
            <w:tcW w:w="1256" w:type="dxa"/>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6" w:hRule="atLeast"/>
        </w:trPr>
        <w:tc>
          <w:tcPr>
            <w:tcW w:w="150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2"/>
                <w:szCs w:val="22"/>
                <w:u w:val="none"/>
              </w:rPr>
            </w:pPr>
          </w:p>
        </w:tc>
        <w:tc>
          <w:tcPr>
            <w:tcW w:w="1104"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成本指标</w:t>
            </w:r>
          </w:p>
        </w:tc>
        <w:tc>
          <w:tcPr>
            <w:tcW w:w="966"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经济成本指标</w:t>
            </w:r>
          </w:p>
        </w:tc>
        <w:tc>
          <w:tcPr>
            <w:tcW w:w="118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项目支出</w:t>
            </w:r>
          </w:p>
        </w:tc>
        <w:tc>
          <w:tcPr>
            <w:tcW w:w="1365" w:type="dxa"/>
            <w:tcBorders>
              <w:top w:val="nil"/>
              <w:left w:val="nil"/>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650万元</w:t>
            </w:r>
          </w:p>
        </w:tc>
        <w:tc>
          <w:tcPr>
            <w:tcW w:w="1290" w:type="dxa"/>
            <w:tcBorders>
              <w:top w:val="nil"/>
              <w:left w:val="single" w:color="000000" w:sz="8" w:space="0"/>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650万元</w:t>
            </w:r>
          </w:p>
        </w:tc>
        <w:tc>
          <w:tcPr>
            <w:tcW w:w="1069"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1029"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10.00</w:t>
            </w:r>
          </w:p>
        </w:tc>
        <w:tc>
          <w:tcPr>
            <w:tcW w:w="1256" w:type="dxa"/>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6" w:hRule="atLeast"/>
        </w:trPr>
        <w:tc>
          <w:tcPr>
            <w:tcW w:w="150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2"/>
                <w:szCs w:val="22"/>
                <w:u w:val="none"/>
              </w:rPr>
            </w:pPr>
          </w:p>
        </w:tc>
        <w:tc>
          <w:tcPr>
            <w:tcW w:w="1104"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c>
          <w:tcPr>
            <w:tcW w:w="966"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社会成本指标</w:t>
            </w:r>
          </w:p>
        </w:tc>
        <w:tc>
          <w:tcPr>
            <w:tcW w:w="118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资金使用合规性</w:t>
            </w:r>
          </w:p>
        </w:tc>
        <w:tc>
          <w:tcPr>
            <w:tcW w:w="1365" w:type="dxa"/>
            <w:tcBorders>
              <w:top w:val="nil"/>
              <w:left w:val="nil"/>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合规</w:t>
            </w:r>
          </w:p>
        </w:tc>
        <w:tc>
          <w:tcPr>
            <w:tcW w:w="1290" w:type="dxa"/>
            <w:tcBorders>
              <w:top w:val="nil"/>
              <w:left w:val="single" w:color="000000" w:sz="8" w:space="0"/>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合规</w:t>
            </w:r>
          </w:p>
        </w:tc>
        <w:tc>
          <w:tcPr>
            <w:tcW w:w="1069"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1029"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10.00</w:t>
            </w:r>
          </w:p>
        </w:tc>
        <w:tc>
          <w:tcPr>
            <w:tcW w:w="1256" w:type="dxa"/>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6" w:hRule="atLeast"/>
        </w:trPr>
        <w:tc>
          <w:tcPr>
            <w:tcW w:w="150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2"/>
                <w:szCs w:val="22"/>
                <w:u w:val="none"/>
              </w:rPr>
            </w:pPr>
          </w:p>
        </w:tc>
        <w:tc>
          <w:tcPr>
            <w:tcW w:w="1104"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c>
          <w:tcPr>
            <w:tcW w:w="966"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生态环境成本指标</w:t>
            </w:r>
          </w:p>
        </w:tc>
        <w:tc>
          <w:tcPr>
            <w:tcW w:w="118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校园整体环境</w:t>
            </w:r>
          </w:p>
        </w:tc>
        <w:tc>
          <w:tcPr>
            <w:tcW w:w="1365" w:type="dxa"/>
            <w:tcBorders>
              <w:top w:val="nil"/>
              <w:left w:val="nil"/>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提升</w:t>
            </w:r>
          </w:p>
        </w:tc>
        <w:tc>
          <w:tcPr>
            <w:tcW w:w="1290" w:type="dxa"/>
            <w:tcBorders>
              <w:top w:val="nil"/>
              <w:left w:val="single" w:color="000000" w:sz="8" w:space="0"/>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提升</w:t>
            </w:r>
          </w:p>
        </w:tc>
        <w:tc>
          <w:tcPr>
            <w:tcW w:w="1069"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w:t>
            </w:r>
          </w:p>
        </w:tc>
        <w:tc>
          <w:tcPr>
            <w:tcW w:w="1029"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5.00</w:t>
            </w:r>
          </w:p>
        </w:tc>
        <w:tc>
          <w:tcPr>
            <w:tcW w:w="1256" w:type="dxa"/>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7410" w:type="dxa"/>
            <w:gridSpan w:val="6"/>
            <w:tcBorders>
              <w:top w:val="nil"/>
              <w:left w:val="single" w:color="000000" w:sz="8" w:space="0"/>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总分</w:t>
            </w:r>
          </w:p>
        </w:tc>
        <w:tc>
          <w:tcPr>
            <w:tcW w:w="1069"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w:t>
            </w:r>
          </w:p>
        </w:tc>
        <w:tc>
          <w:tcPr>
            <w:tcW w:w="1029"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99.00</w:t>
            </w:r>
          </w:p>
        </w:tc>
        <w:tc>
          <w:tcPr>
            <w:tcW w:w="1256" w:type="dxa"/>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r>
    </w:tbl>
    <w:p/>
    <w:p/>
    <w:p/>
    <w:p/>
    <w:p/>
    <w:p/>
    <w:p/>
    <w:p/>
    <w:p/>
    <w:p/>
    <w:p/>
    <w:p/>
    <w:p/>
    <w:p/>
    <w:p/>
    <w:p/>
    <w:p/>
    <w:p/>
    <w:p/>
    <w:p/>
    <w:p/>
    <w:p/>
    <w:p/>
    <w:p/>
    <w:p/>
    <w:p/>
    <w:p/>
    <w:p/>
    <w:p/>
    <w:p/>
    <w:p/>
    <w:p/>
    <w:p/>
    <w:p/>
    <w:p/>
    <w:p/>
    <w:p>
      <w:pPr>
        <w:jc w:val="center"/>
        <w:rPr>
          <w:rFonts w:hint="eastAsia" w:ascii="宋体" w:hAnsi="宋体" w:eastAsia="宋体"/>
          <w:b/>
          <w:bCs/>
          <w:sz w:val="44"/>
          <w:szCs w:val="44"/>
          <w:lang w:eastAsia="zh-CN"/>
        </w:rPr>
      </w:pPr>
      <w:r>
        <w:rPr>
          <w:rFonts w:hint="eastAsia" w:ascii="宋体" w:hAnsi="宋体"/>
          <w:b/>
          <w:bCs/>
          <w:sz w:val="44"/>
          <w:szCs w:val="44"/>
          <w:lang w:eastAsia="zh-CN"/>
        </w:rPr>
        <w:t>江永县第二中学</w:t>
      </w:r>
      <w:r>
        <w:rPr>
          <w:rFonts w:hint="eastAsia" w:ascii="宋体" w:hAnsi="宋体"/>
          <w:b/>
          <w:bCs/>
          <w:sz w:val="44"/>
          <w:szCs w:val="44"/>
        </w:rPr>
        <w:t>专项</w:t>
      </w:r>
      <w:r>
        <w:rPr>
          <w:rFonts w:hint="eastAsia" w:ascii="宋体" w:hAnsi="宋体"/>
          <w:b/>
          <w:bCs/>
          <w:sz w:val="44"/>
          <w:szCs w:val="44"/>
          <w:lang w:eastAsia="zh-CN"/>
        </w:rPr>
        <w:t>（项目）</w:t>
      </w:r>
    </w:p>
    <w:p>
      <w:pPr>
        <w:widowControl/>
        <w:spacing w:line="560" w:lineRule="exact"/>
        <w:jc w:val="center"/>
        <w:rPr>
          <w:rFonts w:ascii="黑体" w:hAnsi="黑体" w:eastAsia="黑体"/>
          <w:kern w:val="0"/>
          <w:sz w:val="44"/>
          <w:szCs w:val="44"/>
        </w:rPr>
      </w:pPr>
      <w:r>
        <w:rPr>
          <w:rFonts w:ascii="黑体" w:hAnsi="黑体" w:eastAsia="黑体"/>
          <w:kern w:val="0"/>
          <w:sz w:val="44"/>
          <w:szCs w:val="44"/>
        </w:rPr>
        <w:t>资金绩效评价表</w:t>
      </w:r>
    </w:p>
    <w:tbl>
      <w:tblPr>
        <w:tblStyle w:val="7"/>
        <w:tblW w:w="10608" w:type="dxa"/>
        <w:jc w:val="center"/>
        <w:tblLayout w:type="fixed"/>
        <w:tblCellMar>
          <w:top w:w="0" w:type="dxa"/>
          <w:left w:w="108" w:type="dxa"/>
          <w:bottom w:w="0" w:type="dxa"/>
          <w:right w:w="108" w:type="dxa"/>
        </w:tblCellMar>
      </w:tblPr>
      <w:tblGrid>
        <w:gridCol w:w="656"/>
        <w:gridCol w:w="710"/>
        <w:gridCol w:w="1275"/>
        <w:gridCol w:w="3080"/>
        <w:gridCol w:w="4502"/>
        <w:gridCol w:w="385"/>
      </w:tblGrid>
      <w:tr>
        <w:tblPrEx>
          <w:tblCellMar>
            <w:top w:w="0" w:type="dxa"/>
            <w:left w:w="108" w:type="dxa"/>
            <w:bottom w:w="0" w:type="dxa"/>
            <w:right w:w="108" w:type="dxa"/>
          </w:tblCellMar>
        </w:tblPrEx>
        <w:trPr>
          <w:jc w:val="center"/>
        </w:trPr>
        <w:tc>
          <w:tcPr>
            <w:tcW w:w="656" w:type="dxa"/>
            <w:tcBorders>
              <w:top w:val="single" w:color="auto" w:sz="4" w:space="0"/>
              <w:left w:val="single" w:color="auto" w:sz="4" w:space="0"/>
              <w:bottom w:val="nil"/>
              <w:right w:val="single" w:color="auto" w:sz="4" w:space="0"/>
            </w:tcBorders>
            <w:vAlign w:val="center"/>
          </w:tcPr>
          <w:p>
            <w:pPr>
              <w:widowControl/>
              <w:jc w:val="center"/>
              <w:rPr>
                <w:rFonts w:eastAsia="仿宋_GB2312"/>
                <w:b/>
                <w:bCs/>
                <w:color w:val="000000"/>
                <w:kern w:val="0"/>
                <w:sz w:val="20"/>
                <w:szCs w:val="20"/>
              </w:rPr>
            </w:pPr>
            <w:r>
              <w:rPr>
                <w:rFonts w:eastAsia="仿宋_GB2312"/>
                <w:b/>
                <w:bCs/>
                <w:color w:val="000000"/>
                <w:kern w:val="0"/>
                <w:sz w:val="20"/>
                <w:szCs w:val="20"/>
              </w:rPr>
              <w:t>一级</w:t>
            </w:r>
          </w:p>
        </w:tc>
        <w:tc>
          <w:tcPr>
            <w:tcW w:w="710" w:type="dxa"/>
            <w:tcBorders>
              <w:top w:val="single" w:color="auto" w:sz="4" w:space="0"/>
              <w:left w:val="nil"/>
              <w:bottom w:val="nil"/>
              <w:right w:val="single" w:color="auto" w:sz="4" w:space="0"/>
            </w:tcBorders>
            <w:vAlign w:val="center"/>
          </w:tcPr>
          <w:p>
            <w:pPr>
              <w:widowControl/>
              <w:jc w:val="center"/>
              <w:rPr>
                <w:rFonts w:eastAsia="仿宋_GB2312"/>
                <w:b/>
                <w:bCs/>
                <w:color w:val="000000"/>
                <w:kern w:val="0"/>
                <w:sz w:val="20"/>
                <w:szCs w:val="20"/>
              </w:rPr>
            </w:pPr>
            <w:r>
              <w:rPr>
                <w:rFonts w:eastAsia="仿宋_GB2312"/>
                <w:b/>
                <w:bCs/>
                <w:color w:val="000000"/>
                <w:kern w:val="0"/>
                <w:sz w:val="20"/>
                <w:szCs w:val="20"/>
              </w:rPr>
              <w:t>二级</w:t>
            </w:r>
          </w:p>
        </w:tc>
        <w:tc>
          <w:tcPr>
            <w:tcW w:w="1275" w:type="dxa"/>
            <w:vMerge w:val="restart"/>
            <w:tcBorders>
              <w:top w:val="single" w:color="auto" w:sz="4" w:space="0"/>
              <w:left w:val="nil"/>
              <w:bottom w:val="single" w:color="000000" w:sz="4" w:space="0"/>
              <w:right w:val="single" w:color="auto" w:sz="4" w:space="0"/>
            </w:tcBorders>
            <w:vAlign w:val="center"/>
          </w:tcPr>
          <w:p>
            <w:pPr>
              <w:widowControl/>
              <w:jc w:val="center"/>
              <w:rPr>
                <w:rFonts w:eastAsia="仿宋_GB2312"/>
                <w:b/>
                <w:bCs/>
                <w:color w:val="000000"/>
                <w:kern w:val="0"/>
                <w:sz w:val="20"/>
                <w:szCs w:val="20"/>
              </w:rPr>
            </w:pPr>
            <w:r>
              <w:rPr>
                <w:rFonts w:eastAsia="仿宋_GB2312"/>
                <w:b/>
                <w:bCs/>
                <w:color w:val="000000"/>
                <w:kern w:val="0"/>
                <w:sz w:val="20"/>
                <w:szCs w:val="20"/>
              </w:rPr>
              <w:t>三级指标</w:t>
            </w:r>
          </w:p>
        </w:tc>
        <w:tc>
          <w:tcPr>
            <w:tcW w:w="3080" w:type="dxa"/>
            <w:vMerge w:val="restart"/>
            <w:tcBorders>
              <w:top w:val="single" w:color="auto" w:sz="4" w:space="0"/>
              <w:left w:val="nil"/>
              <w:bottom w:val="single" w:color="000000" w:sz="4" w:space="0"/>
              <w:right w:val="single" w:color="auto" w:sz="4" w:space="0"/>
            </w:tcBorders>
            <w:vAlign w:val="center"/>
          </w:tcPr>
          <w:p>
            <w:pPr>
              <w:widowControl/>
              <w:jc w:val="center"/>
              <w:rPr>
                <w:rFonts w:eastAsia="仿宋_GB2312"/>
                <w:b/>
                <w:bCs/>
                <w:color w:val="000000"/>
                <w:kern w:val="0"/>
                <w:sz w:val="20"/>
                <w:szCs w:val="20"/>
              </w:rPr>
            </w:pPr>
            <w:r>
              <w:rPr>
                <w:rFonts w:eastAsia="仿宋_GB2312"/>
                <w:b/>
                <w:bCs/>
                <w:color w:val="000000"/>
                <w:kern w:val="0"/>
                <w:sz w:val="20"/>
                <w:szCs w:val="20"/>
              </w:rPr>
              <w:t>指标解释</w:t>
            </w:r>
          </w:p>
        </w:tc>
        <w:tc>
          <w:tcPr>
            <w:tcW w:w="4502" w:type="dxa"/>
            <w:vMerge w:val="restart"/>
            <w:tcBorders>
              <w:top w:val="single" w:color="auto" w:sz="4" w:space="0"/>
              <w:left w:val="nil"/>
              <w:bottom w:val="single" w:color="000000" w:sz="4" w:space="0"/>
              <w:right w:val="single" w:color="auto" w:sz="4" w:space="0"/>
            </w:tcBorders>
            <w:vAlign w:val="center"/>
          </w:tcPr>
          <w:p>
            <w:pPr>
              <w:widowControl/>
              <w:jc w:val="center"/>
              <w:rPr>
                <w:rFonts w:eastAsia="仿宋_GB2312"/>
                <w:b/>
                <w:bCs/>
                <w:color w:val="000000"/>
                <w:kern w:val="0"/>
                <w:sz w:val="20"/>
                <w:szCs w:val="20"/>
              </w:rPr>
            </w:pPr>
            <w:r>
              <w:rPr>
                <w:rFonts w:eastAsia="仿宋_GB2312"/>
                <w:b/>
                <w:bCs/>
                <w:color w:val="000000"/>
                <w:kern w:val="0"/>
                <w:sz w:val="20"/>
                <w:szCs w:val="20"/>
              </w:rPr>
              <w:t>指标说明</w:t>
            </w:r>
          </w:p>
        </w:tc>
        <w:tc>
          <w:tcPr>
            <w:tcW w:w="385" w:type="dxa"/>
            <w:vMerge w:val="restart"/>
            <w:tcBorders>
              <w:top w:val="single" w:color="auto" w:sz="4" w:space="0"/>
              <w:left w:val="nil"/>
              <w:bottom w:val="single" w:color="auto" w:sz="4" w:space="0"/>
              <w:right w:val="single" w:color="auto" w:sz="4" w:space="0"/>
            </w:tcBorders>
            <w:vAlign w:val="center"/>
          </w:tcPr>
          <w:p>
            <w:pPr>
              <w:widowControl/>
              <w:jc w:val="center"/>
              <w:rPr>
                <w:rFonts w:eastAsia="仿宋_GB2312"/>
                <w:b/>
                <w:bCs/>
                <w:color w:val="000000"/>
                <w:kern w:val="0"/>
                <w:sz w:val="20"/>
                <w:szCs w:val="20"/>
              </w:rPr>
            </w:pPr>
            <w:r>
              <w:rPr>
                <w:b/>
                <w:bCs/>
                <w:color w:val="000000"/>
                <w:kern w:val="0"/>
                <w:sz w:val="20"/>
                <w:szCs w:val="20"/>
              </w:rPr>
              <w:t>得分</w:t>
            </w:r>
          </w:p>
        </w:tc>
      </w:tr>
      <w:tr>
        <w:tblPrEx>
          <w:tblCellMar>
            <w:top w:w="0" w:type="dxa"/>
            <w:left w:w="108" w:type="dxa"/>
            <w:bottom w:w="0" w:type="dxa"/>
            <w:right w:w="108" w:type="dxa"/>
          </w:tblCellMar>
        </w:tblPrEx>
        <w:trPr>
          <w:trHeight w:val="452" w:hRule="atLeast"/>
          <w:jc w:val="center"/>
        </w:trPr>
        <w:tc>
          <w:tcPr>
            <w:tcW w:w="656" w:type="dxa"/>
            <w:tcBorders>
              <w:top w:val="nil"/>
              <w:left w:val="single" w:color="auto" w:sz="4" w:space="0"/>
              <w:bottom w:val="single" w:color="auto" w:sz="4" w:space="0"/>
              <w:right w:val="single" w:color="auto" w:sz="4" w:space="0"/>
            </w:tcBorders>
            <w:vAlign w:val="center"/>
          </w:tcPr>
          <w:p>
            <w:pPr>
              <w:widowControl/>
              <w:jc w:val="center"/>
              <w:rPr>
                <w:rFonts w:eastAsia="仿宋_GB2312"/>
                <w:b/>
                <w:bCs/>
                <w:color w:val="000000"/>
                <w:kern w:val="0"/>
                <w:sz w:val="20"/>
                <w:szCs w:val="20"/>
              </w:rPr>
            </w:pPr>
            <w:r>
              <w:rPr>
                <w:rFonts w:eastAsia="仿宋_GB2312"/>
                <w:b/>
                <w:bCs/>
                <w:color w:val="000000"/>
                <w:kern w:val="0"/>
                <w:sz w:val="20"/>
                <w:szCs w:val="20"/>
              </w:rPr>
              <w:t>指标</w:t>
            </w:r>
          </w:p>
        </w:tc>
        <w:tc>
          <w:tcPr>
            <w:tcW w:w="710" w:type="dxa"/>
            <w:tcBorders>
              <w:top w:val="nil"/>
              <w:left w:val="nil"/>
              <w:bottom w:val="single" w:color="auto" w:sz="4" w:space="0"/>
              <w:right w:val="single" w:color="auto" w:sz="4" w:space="0"/>
            </w:tcBorders>
            <w:vAlign w:val="center"/>
          </w:tcPr>
          <w:p>
            <w:pPr>
              <w:widowControl/>
              <w:jc w:val="center"/>
              <w:rPr>
                <w:rFonts w:eastAsia="仿宋_GB2312"/>
                <w:b/>
                <w:bCs/>
                <w:color w:val="000000"/>
                <w:kern w:val="0"/>
                <w:sz w:val="20"/>
                <w:szCs w:val="20"/>
              </w:rPr>
            </w:pPr>
            <w:r>
              <w:rPr>
                <w:rFonts w:eastAsia="仿宋_GB2312"/>
                <w:b/>
                <w:bCs/>
                <w:color w:val="000000"/>
                <w:kern w:val="0"/>
                <w:sz w:val="20"/>
                <w:szCs w:val="20"/>
              </w:rPr>
              <w:t>指标</w:t>
            </w:r>
          </w:p>
        </w:tc>
        <w:tc>
          <w:tcPr>
            <w:tcW w:w="1275" w:type="dxa"/>
            <w:vMerge w:val="continue"/>
            <w:tcBorders>
              <w:top w:val="single" w:color="auto" w:sz="4" w:space="0"/>
              <w:left w:val="nil"/>
              <w:bottom w:val="single" w:color="000000" w:sz="4" w:space="0"/>
              <w:right w:val="single" w:color="auto" w:sz="4" w:space="0"/>
            </w:tcBorders>
            <w:vAlign w:val="center"/>
          </w:tcPr>
          <w:p>
            <w:pPr>
              <w:widowControl/>
              <w:jc w:val="left"/>
              <w:rPr>
                <w:rFonts w:eastAsia="仿宋_GB2312"/>
                <w:b/>
                <w:bCs/>
                <w:color w:val="000000"/>
                <w:kern w:val="0"/>
                <w:sz w:val="20"/>
                <w:szCs w:val="20"/>
              </w:rPr>
            </w:pPr>
          </w:p>
        </w:tc>
        <w:tc>
          <w:tcPr>
            <w:tcW w:w="3080" w:type="dxa"/>
            <w:vMerge w:val="continue"/>
            <w:tcBorders>
              <w:top w:val="single" w:color="auto" w:sz="4" w:space="0"/>
              <w:left w:val="nil"/>
              <w:bottom w:val="single" w:color="000000" w:sz="4" w:space="0"/>
              <w:right w:val="single" w:color="auto" w:sz="4" w:space="0"/>
            </w:tcBorders>
            <w:vAlign w:val="center"/>
          </w:tcPr>
          <w:p>
            <w:pPr>
              <w:widowControl/>
              <w:jc w:val="left"/>
              <w:rPr>
                <w:rFonts w:eastAsia="仿宋_GB2312"/>
                <w:b/>
                <w:bCs/>
                <w:color w:val="000000"/>
                <w:kern w:val="0"/>
                <w:sz w:val="20"/>
                <w:szCs w:val="20"/>
              </w:rPr>
            </w:pPr>
          </w:p>
        </w:tc>
        <w:tc>
          <w:tcPr>
            <w:tcW w:w="4502" w:type="dxa"/>
            <w:vMerge w:val="continue"/>
            <w:tcBorders>
              <w:top w:val="single" w:color="auto" w:sz="4" w:space="0"/>
              <w:left w:val="nil"/>
              <w:bottom w:val="single" w:color="000000" w:sz="4" w:space="0"/>
              <w:right w:val="single" w:color="auto" w:sz="4" w:space="0"/>
            </w:tcBorders>
            <w:vAlign w:val="center"/>
          </w:tcPr>
          <w:p>
            <w:pPr>
              <w:widowControl/>
              <w:jc w:val="left"/>
              <w:rPr>
                <w:rFonts w:eastAsia="仿宋_GB2312"/>
                <w:b/>
                <w:bCs/>
                <w:color w:val="000000"/>
                <w:kern w:val="0"/>
                <w:sz w:val="20"/>
                <w:szCs w:val="20"/>
              </w:rPr>
            </w:pPr>
          </w:p>
        </w:tc>
        <w:tc>
          <w:tcPr>
            <w:tcW w:w="385" w:type="dxa"/>
            <w:vMerge w:val="continue"/>
            <w:tcBorders>
              <w:top w:val="single" w:color="auto" w:sz="4" w:space="0"/>
              <w:left w:val="nil"/>
              <w:bottom w:val="single" w:color="auto" w:sz="4" w:space="0"/>
              <w:right w:val="single" w:color="auto" w:sz="4" w:space="0"/>
            </w:tcBorders>
            <w:vAlign w:val="center"/>
          </w:tcPr>
          <w:p>
            <w:pPr>
              <w:widowControl/>
              <w:jc w:val="left"/>
              <w:rPr>
                <w:rFonts w:eastAsia="仿宋_GB2312"/>
                <w:b/>
                <w:bCs/>
                <w:color w:val="000000"/>
                <w:kern w:val="0"/>
                <w:sz w:val="20"/>
                <w:szCs w:val="20"/>
              </w:rPr>
            </w:pPr>
          </w:p>
        </w:tc>
      </w:tr>
      <w:tr>
        <w:tblPrEx>
          <w:tblCellMar>
            <w:top w:w="0" w:type="dxa"/>
            <w:left w:w="108" w:type="dxa"/>
            <w:bottom w:w="0" w:type="dxa"/>
            <w:right w:w="108" w:type="dxa"/>
          </w:tblCellMar>
        </w:tblPrEx>
        <w:trPr>
          <w:jc w:val="center"/>
        </w:trPr>
        <w:tc>
          <w:tcPr>
            <w:tcW w:w="656"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投入</w:t>
            </w:r>
          </w:p>
          <w:p>
            <w:pPr>
              <w:widowControl/>
              <w:spacing w:line="280" w:lineRule="exact"/>
              <w:jc w:val="center"/>
              <w:rPr>
                <w:rFonts w:ascii="宋体" w:hAnsi="宋体"/>
                <w:color w:val="000000"/>
                <w:kern w:val="0"/>
                <w:sz w:val="24"/>
              </w:rPr>
            </w:pPr>
            <w:r>
              <w:rPr>
                <w:rFonts w:ascii="仿宋_GB2312" w:hAnsi="宋体"/>
                <w:color w:val="000000"/>
                <w:kern w:val="0"/>
                <w:sz w:val="20"/>
                <w:szCs w:val="20"/>
              </w:rPr>
              <w:t>（20分）</w:t>
            </w:r>
          </w:p>
        </w:tc>
        <w:tc>
          <w:tcPr>
            <w:tcW w:w="710" w:type="dxa"/>
            <w:vMerge w:val="restart"/>
            <w:tcBorders>
              <w:top w:val="nil"/>
              <w:left w:val="nil"/>
              <w:bottom w:val="single" w:color="000000" w:sz="4" w:space="0"/>
              <w:right w:val="single" w:color="auto" w:sz="4" w:space="0"/>
            </w:tcBorders>
            <w:vAlign w:val="center"/>
          </w:tcPr>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项目立项</w:t>
            </w:r>
          </w:p>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（12分）</w:t>
            </w:r>
          </w:p>
        </w:tc>
        <w:tc>
          <w:tcPr>
            <w:tcW w:w="1275" w:type="dxa"/>
            <w:vMerge w:val="restart"/>
            <w:tcBorders>
              <w:top w:val="nil"/>
              <w:left w:val="nil"/>
              <w:bottom w:val="single" w:color="000000" w:sz="4" w:space="0"/>
              <w:right w:val="single" w:color="auto" w:sz="4" w:space="0"/>
            </w:tcBorders>
            <w:vAlign w:val="center"/>
          </w:tcPr>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项目立项规范性</w:t>
            </w:r>
          </w:p>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（4分）</w:t>
            </w:r>
          </w:p>
        </w:tc>
        <w:tc>
          <w:tcPr>
            <w:tcW w:w="3080" w:type="dxa"/>
            <w:vMerge w:val="restart"/>
            <w:tcBorders>
              <w:top w:val="nil"/>
              <w:left w:val="nil"/>
              <w:bottom w:val="single" w:color="000000" w:sz="4" w:space="0"/>
              <w:right w:val="single" w:color="auto" w:sz="4" w:space="0"/>
            </w:tcBorders>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项目的申请、设立过程是否符合相关要求，用以反映和考核项目立项的规范情况。</w:t>
            </w:r>
          </w:p>
        </w:tc>
        <w:tc>
          <w:tcPr>
            <w:tcW w:w="4502" w:type="dxa"/>
            <w:tcBorders>
              <w:top w:val="nil"/>
              <w:left w:val="nil"/>
              <w:bottom w:val="nil"/>
              <w:right w:val="single" w:color="auto" w:sz="4" w:space="0"/>
            </w:tcBorders>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评价要点：</w:t>
            </w:r>
          </w:p>
        </w:tc>
        <w:tc>
          <w:tcPr>
            <w:tcW w:w="385" w:type="dxa"/>
            <w:vMerge w:val="restart"/>
            <w:tcBorders>
              <w:top w:val="single" w:color="auto" w:sz="4" w:space="0"/>
              <w:left w:val="nil"/>
              <w:right w:val="single" w:color="auto" w:sz="4" w:space="0"/>
            </w:tcBorders>
          </w:tcPr>
          <w:p>
            <w:pPr>
              <w:spacing w:line="280" w:lineRule="exact"/>
              <w:rPr>
                <w:rFonts w:ascii="宋体" w:hAnsi="宋体"/>
                <w:color w:val="000000"/>
                <w:kern w:val="0"/>
                <w:sz w:val="24"/>
              </w:rPr>
            </w:pPr>
          </w:p>
          <w:p>
            <w:pPr>
              <w:spacing w:line="280" w:lineRule="exact"/>
              <w:rPr>
                <w:rFonts w:ascii="宋体" w:hAnsi="宋体"/>
                <w:color w:val="000000"/>
                <w:kern w:val="0"/>
                <w:sz w:val="24"/>
              </w:rPr>
            </w:pPr>
          </w:p>
          <w:p>
            <w:pPr>
              <w:spacing w:line="280" w:lineRule="exact"/>
              <w:rPr>
                <w:rFonts w:ascii="宋体" w:hAnsi="宋体"/>
                <w:b/>
                <w:color w:val="000000"/>
                <w:kern w:val="0"/>
                <w:sz w:val="24"/>
              </w:rPr>
            </w:pPr>
            <w:r>
              <w:rPr>
                <w:rFonts w:hint="eastAsia" w:ascii="宋体" w:hAnsi="宋体"/>
                <w:color w:val="000000"/>
                <w:kern w:val="0"/>
                <w:sz w:val="24"/>
              </w:rPr>
              <w:t>4</w:t>
            </w: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①项目是否按照规定的程序申请设立；</w:t>
            </w:r>
          </w:p>
        </w:tc>
        <w:tc>
          <w:tcPr>
            <w:tcW w:w="385" w:type="dxa"/>
            <w:vMerge w:val="continue"/>
            <w:tcBorders>
              <w:left w:val="nil"/>
              <w:right w:val="single" w:color="auto" w:sz="4" w:space="0"/>
            </w:tcBorders>
          </w:tcPr>
          <w:p>
            <w:pPr>
              <w:spacing w:line="280" w:lineRule="exact"/>
              <w:rPr>
                <w:rFonts w:ascii="宋体" w:hAnsi="宋体"/>
                <w:b/>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②所提交的文件、材料是否符合相关要求；</w:t>
            </w:r>
          </w:p>
        </w:tc>
        <w:tc>
          <w:tcPr>
            <w:tcW w:w="385" w:type="dxa"/>
            <w:vMerge w:val="continue"/>
            <w:tcBorders>
              <w:left w:val="nil"/>
              <w:right w:val="single" w:color="auto" w:sz="4" w:space="0"/>
            </w:tcBorders>
          </w:tcPr>
          <w:p>
            <w:pPr>
              <w:spacing w:line="280" w:lineRule="exact"/>
              <w:rPr>
                <w:rFonts w:ascii="宋体" w:hAnsi="宋体"/>
                <w:color w:val="000000"/>
                <w:kern w:val="0"/>
                <w:sz w:val="24"/>
              </w:rPr>
            </w:pPr>
          </w:p>
        </w:tc>
      </w:tr>
      <w:tr>
        <w:tblPrEx>
          <w:tblCellMar>
            <w:top w:w="0" w:type="dxa"/>
            <w:left w:w="108" w:type="dxa"/>
            <w:bottom w:w="0" w:type="dxa"/>
            <w:right w:w="108" w:type="dxa"/>
          </w:tblCellMar>
        </w:tblPrEx>
        <w:trPr>
          <w:trHeight w:val="642" w:hRule="atLeast"/>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③事前是否已经过必要的可行性研究、专家论证、风险评估、集体决策等。</w:t>
            </w:r>
          </w:p>
        </w:tc>
        <w:tc>
          <w:tcPr>
            <w:tcW w:w="385" w:type="dxa"/>
            <w:vMerge w:val="continue"/>
            <w:tcBorders>
              <w:left w:val="nil"/>
              <w:bottom w:val="single" w:color="auto" w:sz="4" w:space="0"/>
              <w:right w:val="single" w:color="auto" w:sz="4" w:space="0"/>
            </w:tcBorders>
          </w:tcPr>
          <w:p>
            <w:pPr>
              <w:widowControl/>
              <w:spacing w:line="280" w:lineRule="exact"/>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vAlign w:val="center"/>
          </w:tcPr>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绩效目标合理性</w:t>
            </w:r>
          </w:p>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（4分）</w:t>
            </w:r>
          </w:p>
        </w:tc>
        <w:tc>
          <w:tcPr>
            <w:tcW w:w="3080" w:type="dxa"/>
            <w:vMerge w:val="restart"/>
            <w:tcBorders>
              <w:top w:val="nil"/>
              <w:left w:val="nil"/>
              <w:bottom w:val="single" w:color="000000" w:sz="4" w:space="0"/>
              <w:right w:val="single" w:color="auto" w:sz="4" w:space="0"/>
            </w:tcBorders>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项目所设定的绩效目标是否依据充分，是否符合客观实际，用以反映和考核项目绩效目标与项目实施的相符情况。</w:t>
            </w:r>
          </w:p>
        </w:tc>
        <w:tc>
          <w:tcPr>
            <w:tcW w:w="4502" w:type="dxa"/>
            <w:tcBorders>
              <w:top w:val="nil"/>
              <w:left w:val="nil"/>
              <w:bottom w:val="nil"/>
              <w:right w:val="single" w:color="auto" w:sz="4" w:space="0"/>
            </w:tcBorders>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评价要点：</w:t>
            </w:r>
          </w:p>
        </w:tc>
        <w:tc>
          <w:tcPr>
            <w:tcW w:w="385" w:type="dxa"/>
            <w:tcBorders>
              <w:top w:val="nil"/>
              <w:left w:val="nil"/>
              <w:bottom w:val="nil"/>
              <w:right w:val="single" w:color="auto" w:sz="4" w:space="0"/>
            </w:tcBorders>
          </w:tcPr>
          <w:p>
            <w:pPr>
              <w:widowControl/>
              <w:spacing w:line="280" w:lineRule="exact"/>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①是否符合国家相关法律法规，国民经济发展规划和党委政府决策；</w:t>
            </w:r>
          </w:p>
        </w:tc>
        <w:tc>
          <w:tcPr>
            <w:tcW w:w="385" w:type="dxa"/>
            <w:tcBorders>
              <w:top w:val="nil"/>
              <w:left w:val="nil"/>
              <w:bottom w:val="nil"/>
              <w:right w:val="single" w:color="auto" w:sz="4" w:space="0"/>
            </w:tcBorders>
          </w:tcPr>
          <w:p>
            <w:pPr>
              <w:widowControl/>
              <w:spacing w:line="280" w:lineRule="exact"/>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②是否与项目实施单位或委托单位职责密切相关；</w:t>
            </w:r>
          </w:p>
        </w:tc>
        <w:tc>
          <w:tcPr>
            <w:tcW w:w="385" w:type="dxa"/>
            <w:tcBorders>
              <w:top w:val="nil"/>
              <w:left w:val="nil"/>
              <w:bottom w:val="nil"/>
              <w:right w:val="single" w:color="auto" w:sz="4" w:space="0"/>
            </w:tcBorders>
          </w:tcPr>
          <w:p>
            <w:pPr>
              <w:widowControl/>
              <w:spacing w:line="280" w:lineRule="exact"/>
              <w:rPr>
                <w:rFonts w:ascii="宋体" w:hAnsi="宋体"/>
                <w:color w:val="000000"/>
                <w:kern w:val="0"/>
                <w:sz w:val="24"/>
              </w:rPr>
            </w:pPr>
            <w:r>
              <w:rPr>
                <w:rFonts w:hint="eastAsia" w:ascii="宋体" w:hAnsi="宋体"/>
                <w:color w:val="000000"/>
                <w:kern w:val="0"/>
                <w:sz w:val="24"/>
              </w:rPr>
              <w:t>4</w:t>
            </w: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③项目是否为促进事业发展所必需；</w:t>
            </w:r>
          </w:p>
        </w:tc>
        <w:tc>
          <w:tcPr>
            <w:tcW w:w="385" w:type="dxa"/>
            <w:tcBorders>
              <w:top w:val="nil"/>
              <w:left w:val="nil"/>
              <w:bottom w:val="nil"/>
              <w:right w:val="single" w:color="auto" w:sz="4" w:space="0"/>
            </w:tcBorders>
          </w:tcPr>
          <w:p>
            <w:pPr>
              <w:widowControl/>
              <w:spacing w:line="280" w:lineRule="exact"/>
              <w:rPr>
                <w:rFonts w:ascii="宋体" w:hAnsi="宋体"/>
                <w:color w:val="000000"/>
                <w:kern w:val="0"/>
                <w:sz w:val="24"/>
              </w:rPr>
            </w:pPr>
          </w:p>
        </w:tc>
      </w:tr>
      <w:tr>
        <w:tblPrEx>
          <w:tblCellMar>
            <w:top w:w="0" w:type="dxa"/>
            <w:left w:w="108" w:type="dxa"/>
            <w:bottom w:w="0" w:type="dxa"/>
            <w:right w:w="108" w:type="dxa"/>
          </w:tblCellMar>
        </w:tblPrEx>
        <w:trPr>
          <w:trHeight w:val="616" w:hRule="atLeast"/>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④项目预期产出效益和效果是否符合正常的业绩水平。</w:t>
            </w:r>
          </w:p>
        </w:tc>
        <w:tc>
          <w:tcPr>
            <w:tcW w:w="385" w:type="dxa"/>
            <w:tcBorders>
              <w:top w:val="nil"/>
              <w:left w:val="nil"/>
              <w:bottom w:val="single" w:color="auto" w:sz="4" w:space="0"/>
              <w:right w:val="single" w:color="auto" w:sz="4" w:space="0"/>
            </w:tcBorders>
          </w:tcPr>
          <w:p>
            <w:pPr>
              <w:widowControl/>
              <w:spacing w:line="280" w:lineRule="exact"/>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vAlign w:val="center"/>
          </w:tcPr>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绩效指标明确性</w:t>
            </w:r>
          </w:p>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（4分）</w:t>
            </w:r>
          </w:p>
        </w:tc>
        <w:tc>
          <w:tcPr>
            <w:tcW w:w="3080" w:type="dxa"/>
            <w:vMerge w:val="restart"/>
            <w:tcBorders>
              <w:top w:val="nil"/>
              <w:left w:val="nil"/>
              <w:bottom w:val="single" w:color="000000" w:sz="4" w:space="0"/>
              <w:right w:val="single" w:color="auto" w:sz="4" w:space="0"/>
            </w:tcBorders>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依据绩效目标设定的绩效指标是否清晰、细化、可衡量等，用以反映和考核项目绩效目标的明细化情况。</w:t>
            </w:r>
          </w:p>
        </w:tc>
        <w:tc>
          <w:tcPr>
            <w:tcW w:w="4502" w:type="dxa"/>
            <w:tcBorders>
              <w:top w:val="nil"/>
              <w:left w:val="nil"/>
              <w:bottom w:val="nil"/>
              <w:right w:val="single" w:color="auto" w:sz="4" w:space="0"/>
            </w:tcBorders>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评价要点：</w:t>
            </w:r>
          </w:p>
        </w:tc>
        <w:tc>
          <w:tcPr>
            <w:tcW w:w="385" w:type="dxa"/>
            <w:tcBorders>
              <w:top w:val="nil"/>
              <w:left w:val="nil"/>
              <w:bottom w:val="nil"/>
              <w:right w:val="single" w:color="auto" w:sz="4" w:space="0"/>
            </w:tcBorders>
          </w:tcPr>
          <w:p>
            <w:pPr>
              <w:widowControl/>
              <w:spacing w:line="280" w:lineRule="exact"/>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①是否将项目绩效目标细化分解为具体的绩效指标；</w:t>
            </w:r>
          </w:p>
        </w:tc>
        <w:tc>
          <w:tcPr>
            <w:tcW w:w="385" w:type="dxa"/>
            <w:tcBorders>
              <w:top w:val="nil"/>
              <w:left w:val="nil"/>
              <w:bottom w:val="nil"/>
              <w:right w:val="single" w:color="auto" w:sz="4" w:space="0"/>
            </w:tcBorders>
          </w:tcPr>
          <w:p>
            <w:pPr>
              <w:widowControl/>
              <w:spacing w:line="280" w:lineRule="exact"/>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②是否通过清晰、可衡量的指标值予以体现；</w:t>
            </w:r>
          </w:p>
        </w:tc>
        <w:tc>
          <w:tcPr>
            <w:tcW w:w="385" w:type="dxa"/>
            <w:tcBorders>
              <w:top w:val="nil"/>
              <w:left w:val="nil"/>
              <w:bottom w:val="nil"/>
              <w:right w:val="single" w:color="auto" w:sz="4" w:space="0"/>
            </w:tcBorders>
          </w:tcPr>
          <w:p>
            <w:pPr>
              <w:widowControl/>
              <w:spacing w:line="280" w:lineRule="exact"/>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③是否与项目年度任务</w:t>
            </w:r>
            <w:r>
              <w:rPr>
                <w:rFonts w:hint="eastAsia" w:ascii="仿宋_GB2312" w:hAnsi="宋体"/>
                <w:color w:val="000000"/>
                <w:kern w:val="0"/>
                <w:sz w:val="20"/>
                <w:szCs w:val="20"/>
              </w:rPr>
              <w:t>数</w:t>
            </w:r>
            <w:r>
              <w:rPr>
                <w:rFonts w:ascii="仿宋_GB2312" w:hAnsi="宋体"/>
                <w:color w:val="000000"/>
                <w:kern w:val="0"/>
                <w:sz w:val="20"/>
                <w:szCs w:val="20"/>
              </w:rPr>
              <w:t>或计划数相对应；</w:t>
            </w:r>
          </w:p>
        </w:tc>
        <w:tc>
          <w:tcPr>
            <w:tcW w:w="385" w:type="dxa"/>
            <w:tcBorders>
              <w:top w:val="nil"/>
              <w:left w:val="nil"/>
              <w:bottom w:val="nil"/>
              <w:right w:val="single" w:color="auto" w:sz="4" w:space="0"/>
            </w:tcBorders>
          </w:tcPr>
          <w:p>
            <w:pPr>
              <w:widowControl/>
              <w:spacing w:line="280" w:lineRule="exact"/>
              <w:rPr>
                <w:rFonts w:ascii="宋体" w:hAnsi="宋体"/>
                <w:color w:val="000000"/>
                <w:kern w:val="0"/>
                <w:sz w:val="24"/>
              </w:rPr>
            </w:pPr>
            <w:r>
              <w:rPr>
                <w:rFonts w:hint="eastAsia" w:ascii="宋体" w:hAnsi="宋体"/>
                <w:color w:val="000000"/>
                <w:kern w:val="0"/>
                <w:sz w:val="24"/>
              </w:rPr>
              <w:t>4</w:t>
            </w:r>
          </w:p>
        </w:tc>
      </w:tr>
      <w:tr>
        <w:tblPrEx>
          <w:tblCellMar>
            <w:top w:w="0" w:type="dxa"/>
            <w:left w:w="108" w:type="dxa"/>
            <w:bottom w:w="0" w:type="dxa"/>
            <w:right w:w="108" w:type="dxa"/>
          </w:tblCellMar>
        </w:tblPrEx>
        <w:trPr>
          <w:trHeight w:val="675" w:hRule="atLeast"/>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④是否与预期确定的项目投资额或资金量相匹配。</w:t>
            </w:r>
          </w:p>
        </w:tc>
        <w:tc>
          <w:tcPr>
            <w:tcW w:w="385" w:type="dxa"/>
            <w:tcBorders>
              <w:top w:val="nil"/>
              <w:left w:val="nil"/>
              <w:bottom w:val="single" w:color="auto" w:sz="4" w:space="0"/>
              <w:right w:val="single" w:color="auto" w:sz="4" w:space="0"/>
            </w:tcBorders>
          </w:tcPr>
          <w:p>
            <w:pPr>
              <w:widowControl/>
              <w:spacing w:line="280" w:lineRule="exact"/>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olor w:val="000000"/>
                <w:kern w:val="0"/>
                <w:sz w:val="24"/>
              </w:rPr>
            </w:pPr>
          </w:p>
        </w:tc>
        <w:tc>
          <w:tcPr>
            <w:tcW w:w="710" w:type="dxa"/>
            <w:vMerge w:val="restart"/>
            <w:tcBorders>
              <w:top w:val="nil"/>
              <w:left w:val="nil"/>
              <w:bottom w:val="single" w:color="000000" w:sz="4" w:space="0"/>
              <w:right w:val="single" w:color="auto" w:sz="4" w:space="0"/>
            </w:tcBorders>
            <w:vAlign w:val="center"/>
          </w:tcPr>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资金落实</w:t>
            </w:r>
          </w:p>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（8分）</w:t>
            </w:r>
          </w:p>
        </w:tc>
        <w:tc>
          <w:tcPr>
            <w:tcW w:w="1275" w:type="dxa"/>
            <w:vMerge w:val="restart"/>
            <w:tcBorders>
              <w:top w:val="nil"/>
              <w:left w:val="nil"/>
              <w:bottom w:val="single" w:color="000000" w:sz="4" w:space="0"/>
              <w:right w:val="single" w:color="auto" w:sz="4" w:space="0"/>
            </w:tcBorders>
            <w:vAlign w:val="center"/>
          </w:tcPr>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资金到位率（4分）</w:t>
            </w:r>
          </w:p>
        </w:tc>
        <w:tc>
          <w:tcPr>
            <w:tcW w:w="3080" w:type="dxa"/>
            <w:vMerge w:val="restart"/>
            <w:tcBorders>
              <w:top w:val="nil"/>
              <w:left w:val="nil"/>
              <w:bottom w:val="single" w:color="000000" w:sz="4" w:space="0"/>
              <w:right w:val="single" w:color="auto" w:sz="4" w:space="0"/>
            </w:tcBorders>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实际到位资金与计划投入资金的比率，用以反映和考核资金落实情况对项目实施的总体保障程度。</w:t>
            </w:r>
          </w:p>
        </w:tc>
        <w:tc>
          <w:tcPr>
            <w:tcW w:w="4502" w:type="dxa"/>
            <w:tcBorders>
              <w:top w:val="nil"/>
              <w:left w:val="nil"/>
              <w:bottom w:val="nil"/>
              <w:right w:val="single" w:color="auto" w:sz="4" w:space="0"/>
            </w:tcBorders>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资金到位率=（实际到位资金/计划投入资金）×100%。</w:t>
            </w:r>
          </w:p>
        </w:tc>
        <w:tc>
          <w:tcPr>
            <w:tcW w:w="385" w:type="dxa"/>
            <w:tcBorders>
              <w:top w:val="nil"/>
              <w:left w:val="nil"/>
              <w:bottom w:val="nil"/>
              <w:right w:val="single" w:color="auto" w:sz="4" w:space="0"/>
            </w:tcBorders>
          </w:tcPr>
          <w:p>
            <w:pPr>
              <w:widowControl/>
              <w:spacing w:line="280" w:lineRule="exact"/>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实际到位资金：一定时期（本年度或项目期）内实际落实到具体项目的资金。</w:t>
            </w:r>
          </w:p>
        </w:tc>
        <w:tc>
          <w:tcPr>
            <w:tcW w:w="385" w:type="dxa"/>
            <w:tcBorders>
              <w:top w:val="nil"/>
              <w:left w:val="nil"/>
              <w:bottom w:val="nil"/>
              <w:right w:val="single" w:color="auto" w:sz="4" w:space="0"/>
            </w:tcBorders>
          </w:tcPr>
          <w:p>
            <w:pPr>
              <w:widowControl/>
              <w:spacing w:line="280" w:lineRule="exact"/>
              <w:rPr>
                <w:rFonts w:ascii="宋体" w:hAnsi="宋体"/>
                <w:color w:val="000000"/>
                <w:kern w:val="0"/>
                <w:sz w:val="24"/>
              </w:rPr>
            </w:pPr>
          </w:p>
        </w:tc>
      </w:tr>
      <w:tr>
        <w:tblPrEx>
          <w:tblCellMar>
            <w:top w:w="0" w:type="dxa"/>
            <w:left w:w="108" w:type="dxa"/>
            <w:bottom w:w="0" w:type="dxa"/>
            <w:right w:w="108" w:type="dxa"/>
          </w:tblCellMar>
        </w:tblPrEx>
        <w:trPr>
          <w:trHeight w:val="780" w:hRule="atLeast"/>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计划投入资金：一定时期（本年度或项目期）内计划投入到具体项目的资金。</w:t>
            </w:r>
          </w:p>
        </w:tc>
        <w:tc>
          <w:tcPr>
            <w:tcW w:w="385" w:type="dxa"/>
            <w:tcBorders>
              <w:top w:val="nil"/>
              <w:left w:val="nil"/>
              <w:bottom w:val="single" w:color="auto" w:sz="4" w:space="0"/>
              <w:right w:val="single" w:color="auto" w:sz="4" w:space="0"/>
            </w:tcBorders>
          </w:tcPr>
          <w:p>
            <w:pPr>
              <w:widowControl/>
              <w:spacing w:line="280" w:lineRule="exact"/>
              <w:rPr>
                <w:rFonts w:ascii="宋体" w:hAnsi="宋体"/>
                <w:color w:val="000000"/>
                <w:kern w:val="0"/>
                <w:sz w:val="24"/>
              </w:rPr>
            </w:pPr>
            <w:r>
              <w:rPr>
                <w:rFonts w:hint="eastAsia" w:ascii="宋体" w:hAnsi="宋体"/>
                <w:color w:val="000000"/>
                <w:kern w:val="0"/>
                <w:sz w:val="24"/>
              </w:rPr>
              <w:t>4</w:t>
            </w: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vAlign w:val="center"/>
          </w:tcPr>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到位及时率（4分）</w:t>
            </w:r>
          </w:p>
        </w:tc>
        <w:tc>
          <w:tcPr>
            <w:tcW w:w="3080" w:type="dxa"/>
            <w:vMerge w:val="restart"/>
            <w:tcBorders>
              <w:top w:val="nil"/>
              <w:left w:val="nil"/>
              <w:bottom w:val="single" w:color="000000" w:sz="4" w:space="0"/>
              <w:right w:val="single" w:color="auto" w:sz="4" w:space="0"/>
            </w:tcBorders>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及时到位资金与应到位资金的比率，用以反映和考核项目资金落实的及时性程度。</w:t>
            </w:r>
          </w:p>
        </w:tc>
        <w:tc>
          <w:tcPr>
            <w:tcW w:w="4502" w:type="dxa"/>
            <w:tcBorders>
              <w:top w:val="nil"/>
              <w:left w:val="nil"/>
              <w:bottom w:val="nil"/>
              <w:right w:val="single" w:color="auto" w:sz="4" w:space="0"/>
            </w:tcBorders>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到位及时率＝（及时到位资金/应到位资金）×100%。</w:t>
            </w:r>
          </w:p>
        </w:tc>
        <w:tc>
          <w:tcPr>
            <w:tcW w:w="385" w:type="dxa"/>
            <w:tcBorders>
              <w:top w:val="nil"/>
              <w:left w:val="nil"/>
              <w:bottom w:val="nil"/>
              <w:right w:val="single" w:color="auto" w:sz="4" w:space="0"/>
            </w:tcBorders>
          </w:tcPr>
          <w:p>
            <w:pPr>
              <w:widowControl/>
              <w:spacing w:line="280" w:lineRule="exact"/>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及时到位资金：截至规定时点实际落实到具体项目的资金。</w:t>
            </w:r>
          </w:p>
        </w:tc>
        <w:tc>
          <w:tcPr>
            <w:tcW w:w="385" w:type="dxa"/>
            <w:tcBorders>
              <w:top w:val="nil"/>
              <w:left w:val="nil"/>
              <w:bottom w:val="nil"/>
              <w:right w:val="single" w:color="auto" w:sz="4" w:space="0"/>
            </w:tcBorders>
          </w:tcPr>
          <w:p>
            <w:pPr>
              <w:widowControl/>
              <w:spacing w:line="280" w:lineRule="exact"/>
              <w:rPr>
                <w:rFonts w:hint="eastAsia" w:ascii="宋体" w:hAnsi="宋体" w:eastAsia="宋体"/>
                <w:color w:val="000000"/>
                <w:kern w:val="0"/>
                <w:sz w:val="24"/>
                <w:lang w:eastAsia="zh-CN"/>
              </w:rPr>
            </w:pPr>
            <w:r>
              <w:rPr>
                <w:rFonts w:hint="eastAsia" w:ascii="宋体" w:hAnsi="宋体"/>
                <w:color w:val="000000"/>
                <w:kern w:val="0"/>
                <w:sz w:val="24"/>
                <w:lang w:val="en-US" w:eastAsia="zh-CN"/>
              </w:rPr>
              <w:t>3</w:t>
            </w:r>
          </w:p>
        </w:tc>
      </w:tr>
      <w:tr>
        <w:tblPrEx>
          <w:tblCellMar>
            <w:top w:w="0" w:type="dxa"/>
            <w:left w:w="108" w:type="dxa"/>
            <w:bottom w:w="0" w:type="dxa"/>
            <w:right w:w="108" w:type="dxa"/>
          </w:tblCellMar>
        </w:tblPrEx>
        <w:trPr>
          <w:trHeight w:val="862" w:hRule="atLeast"/>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应到位资金：按照合同或项目进度要求截至规定时点应落实到具体项目的资金。</w:t>
            </w:r>
          </w:p>
        </w:tc>
        <w:tc>
          <w:tcPr>
            <w:tcW w:w="385" w:type="dxa"/>
            <w:tcBorders>
              <w:top w:val="nil"/>
              <w:left w:val="nil"/>
              <w:bottom w:val="single" w:color="auto" w:sz="4" w:space="0"/>
              <w:right w:val="single" w:color="auto" w:sz="4" w:space="0"/>
            </w:tcBorders>
          </w:tcPr>
          <w:p>
            <w:pPr>
              <w:widowControl/>
              <w:spacing w:line="280" w:lineRule="exact"/>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restart"/>
            <w:tcBorders>
              <w:top w:val="nil"/>
              <w:left w:val="single" w:color="auto" w:sz="4" w:space="0"/>
              <w:bottom w:val="nil"/>
              <w:right w:val="single" w:color="auto" w:sz="4" w:space="0"/>
            </w:tcBorders>
            <w:vAlign w:val="center"/>
          </w:tcPr>
          <w:p>
            <w:pPr>
              <w:jc w:val="center"/>
              <w:rPr>
                <w:rFonts w:ascii="仿宋_GB2312" w:hAnsi="宋体"/>
                <w:color w:val="000000"/>
                <w:kern w:val="0"/>
                <w:sz w:val="20"/>
                <w:szCs w:val="20"/>
              </w:rPr>
            </w:pPr>
            <w:r>
              <w:rPr>
                <w:rFonts w:ascii="仿宋_GB2312" w:hAnsi="宋体"/>
                <w:color w:val="000000"/>
                <w:kern w:val="0"/>
                <w:sz w:val="20"/>
                <w:szCs w:val="20"/>
              </w:rPr>
              <w:t>过程</w:t>
            </w:r>
          </w:p>
          <w:p>
            <w:pPr>
              <w:jc w:val="center"/>
              <w:rPr>
                <w:rFonts w:ascii="仿宋_GB2312" w:hAnsi="宋体"/>
                <w:color w:val="000000"/>
                <w:kern w:val="0"/>
                <w:sz w:val="20"/>
                <w:szCs w:val="20"/>
              </w:rPr>
            </w:pPr>
            <w:r>
              <w:rPr>
                <w:rFonts w:ascii="仿宋_GB2312" w:hAnsi="宋体"/>
                <w:color w:val="000000"/>
                <w:kern w:val="0"/>
                <w:sz w:val="20"/>
                <w:szCs w:val="20"/>
              </w:rPr>
              <w:t>（30分）</w:t>
            </w:r>
          </w:p>
        </w:tc>
        <w:tc>
          <w:tcPr>
            <w:tcW w:w="710" w:type="dxa"/>
            <w:vMerge w:val="restart"/>
            <w:tcBorders>
              <w:top w:val="nil"/>
              <w:left w:val="nil"/>
              <w:bottom w:val="nil"/>
              <w:right w:val="single" w:color="auto" w:sz="4" w:space="0"/>
            </w:tcBorders>
            <w:vAlign w:val="center"/>
          </w:tcPr>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业务管理</w:t>
            </w:r>
          </w:p>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（10分）</w:t>
            </w:r>
          </w:p>
          <w:p>
            <w:pPr>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vAlign w:val="center"/>
          </w:tcPr>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管理制度健全</w:t>
            </w:r>
          </w:p>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（3分）</w:t>
            </w:r>
          </w:p>
        </w:tc>
        <w:tc>
          <w:tcPr>
            <w:tcW w:w="3080" w:type="dxa"/>
            <w:vMerge w:val="restart"/>
            <w:tcBorders>
              <w:top w:val="nil"/>
              <w:left w:val="nil"/>
              <w:bottom w:val="single" w:color="000000" w:sz="4" w:space="0"/>
              <w:right w:val="single" w:color="auto" w:sz="4" w:space="0"/>
            </w:tcBorders>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项目实施单位的业务管理制度是否健全，用以反映和考核业务管理制度对项目顺利实施的保障情况。</w:t>
            </w:r>
          </w:p>
        </w:tc>
        <w:tc>
          <w:tcPr>
            <w:tcW w:w="4502" w:type="dxa"/>
            <w:tcBorders>
              <w:top w:val="nil"/>
              <w:left w:val="nil"/>
              <w:bottom w:val="nil"/>
              <w:right w:val="single" w:color="auto" w:sz="4" w:space="0"/>
            </w:tcBorders>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评价要点：</w:t>
            </w:r>
          </w:p>
        </w:tc>
        <w:tc>
          <w:tcPr>
            <w:tcW w:w="385" w:type="dxa"/>
            <w:tcBorders>
              <w:top w:val="nil"/>
              <w:left w:val="nil"/>
              <w:bottom w:val="nil"/>
              <w:right w:val="single" w:color="auto" w:sz="4" w:space="0"/>
            </w:tcBorders>
          </w:tcPr>
          <w:p>
            <w:pPr>
              <w:widowControl/>
              <w:spacing w:line="280" w:lineRule="exact"/>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vAlign w:val="center"/>
          </w:tcPr>
          <w:p>
            <w:pPr>
              <w:widowControl/>
              <w:jc w:val="left"/>
              <w:rPr>
                <w:rFonts w:ascii="仿宋_GB2312" w:hAnsi="宋体"/>
                <w:color w:val="000000"/>
                <w:kern w:val="0"/>
                <w:sz w:val="20"/>
                <w:szCs w:val="20"/>
              </w:rPr>
            </w:pPr>
          </w:p>
        </w:tc>
        <w:tc>
          <w:tcPr>
            <w:tcW w:w="710" w:type="dxa"/>
            <w:vMerge w:val="continue"/>
            <w:tcBorders>
              <w:top w:val="nil"/>
              <w:left w:val="nil"/>
              <w:bottom w:val="nil"/>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①是否已制定或具有相应的业务管理制度；</w:t>
            </w:r>
          </w:p>
        </w:tc>
        <w:tc>
          <w:tcPr>
            <w:tcW w:w="385" w:type="dxa"/>
            <w:tcBorders>
              <w:top w:val="nil"/>
              <w:left w:val="nil"/>
              <w:bottom w:val="nil"/>
              <w:right w:val="single" w:color="auto" w:sz="4" w:space="0"/>
            </w:tcBorders>
          </w:tcPr>
          <w:p>
            <w:pPr>
              <w:widowControl/>
              <w:spacing w:line="280" w:lineRule="exact"/>
              <w:rPr>
                <w:rFonts w:ascii="宋体" w:hAnsi="宋体"/>
                <w:color w:val="000000"/>
                <w:kern w:val="0"/>
                <w:sz w:val="24"/>
              </w:rPr>
            </w:pPr>
            <w:r>
              <w:rPr>
                <w:rFonts w:hint="eastAsia" w:ascii="宋体" w:hAnsi="宋体"/>
                <w:color w:val="000000"/>
                <w:kern w:val="0"/>
                <w:sz w:val="24"/>
              </w:rPr>
              <w:t>3</w:t>
            </w:r>
          </w:p>
        </w:tc>
      </w:tr>
      <w:tr>
        <w:tblPrEx>
          <w:tblCellMar>
            <w:top w:w="0" w:type="dxa"/>
            <w:left w:w="108" w:type="dxa"/>
            <w:bottom w:w="0" w:type="dxa"/>
            <w:right w:w="108" w:type="dxa"/>
          </w:tblCellMar>
        </w:tblPrEx>
        <w:trPr>
          <w:trHeight w:val="633" w:hRule="atLeast"/>
          <w:jc w:val="center"/>
        </w:trPr>
        <w:tc>
          <w:tcPr>
            <w:tcW w:w="656" w:type="dxa"/>
            <w:vMerge w:val="continue"/>
            <w:tcBorders>
              <w:top w:val="nil"/>
              <w:left w:val="single" w:color="auto" w:sz="4" w:space="0"/>
              <w:bottom w:val="nil"/>
              <w:right w:val="single" w:color="auto" w:sz="4" w:space="0"/>
            </w:tcBorders>
            <w:vAlign w:val="center"/>
          </w:tcPr>
          <w:p>
            <w:pPr>
              <w:widowControl/>
              <w:jc w:val="left"/>
              <w:rPr>
                <w:rFonts w:ascii="仿宋_GB2312" w:hAnsi="宋体"/>
                <w:color w:val="000000"/>
                <w:kern w:val="0"/>
                <w:sz w:val="20"/>
                <w:szCs w:val="20"/>
              </w:rPr>
            </w:pPr>
          </w:p>
        </w:tc>
        <w:tc>
          <w:tcPr>
            <w:tcW w:w="710" w:type="dxa"/>
            <w:vMerge w:val="continue"/>
            <w:tcBorders>
              <w:top w:val="nil"/>
              <w:left w:val="nil"/>
              <w:bottom w:val="nil"/>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②业务管理制度是否合法、合规、完整。</w:t>
            </w:r>
          </w:p>
        </w:tc>
        <w:tc>
          <w:tcPr>
            <w:tcW w:w="385" w:type="dxa"/>
            <w:tcBorders>
              <w:top w:val="nil"/>
              <w:left w:val="nil"/>
              <w:bottom w:val="single" w:color="auto" w:sz="4" w:space="0"/>
              <w:right w:val="single" w:color="auto" w:sz="4" w:space="0"/>
            </w:tcBorders>
          </w:tcPr>
          <w:p>
            <w:pPr>
              <w:widowControl/>
              <w:spacing w:line="280" w:lineRule="exact"/>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vAlign w:val="center"/>
          </w:tcPr>
          <w:p>
            <w:pPr>
              <w:widowControl/>
              <w:jc w:val="left"/>
              <w:rPr>
                <w:rFonts w:ascii="仿宋_GB2312" w:hAnsi="宋体"/>
                <w:color w:val="000000"/>
                <w:kern w:val="0"/>
                <w:sz w:val="20"/>
                <w:szCs w:val="20"/>
              </w:rPr>
            </w:pPr>
          </w:p>
        </w:tc>
        <w:tc>
          <w:tcPr>
            <w:tcW w:w="710" w:type="dxa"/>
            <w:vMerge w:val="continue"/>
            <w:tcBorders>
              <w:top w:val="nil"/>
              <w:left w:val="nil"/>
              <w:bottom w:val="nil"/>
              <w:right w:val="single" w:color="auto" w:sz="4" w:space="0"/>
            </w:tcBorders>
            <w:vAlign w:val="center"/>
          </w:tcPr>
          <w:p>
            <w:pPr>
              <w:widowControl/>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vAlign w:val="center"/>
          </w:tcPr>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制度执行有效性</w:t>
            </w:r>
          </w:p>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（3分）</w:t>
            </w:r>
          </w:p>
        </w:tc>
        <w:tc>
          <w:tcPr>
            <w:tcW w:w="3080" w:type="dxa"/>
            <w:vMerge w:val="restart"/>
            <w:tcBorders>
              <w:top w:val="nil"/>
              <w:left w:val="nil"/>
              <w:bottom w:val="single" w:color="000000" w:sz="4" w:space="0"/>
              <w:right w:val="single" w:color="auto" w:sz="4" w:space="0"/>
            </w:tcBorders>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项目实施是否符合相关业务管理规定，用以反映和考核业务管理制度的有效执行情况。</w:t>
            </w:r>
          </w:p>
        </w:tc>
        <w:tc>
          <w:tcPr>
            <w:tcW w:w="4502" w:type="dxa"/>
            <w:tcBorders>
              <w:top w:val="nil"/>
              <w:left w:val="nil"/>
              <w:bottom w:val="nil"/>
              <w:right w:val="single" w:color="auto" w:sz="4" w:space="0"/>
            </w:tcBorders>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评价要点：</w:t>
            </w:r>
          </w:p>
        </w:tc>
        <w:tc>
          <w:tcPr>
            <w:tcW w:w="385" w:type="dxa"/>
            <w:tcBorders>
              <w:top w:val="nil"/>
              <w:left w:val="nil"/>
              <w:bottom w:val="nil"/>
              <w:right w:val="single" w:color="auto" w:sz="4" w:space="0"/>
            </w:tcBorders>
          </w:tcPr>
          <w:p>
            <w:pPr>
              <w:widowControl/>
              <w:spacing w:line="280" w:lineRule="exact"/>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vAlign w:val="center"/>
          </w:tcPr>
          <w:p>
            <w:pPr>
              <w:widowControl/>
              <w:jc w:val="left"/>
              <w:rPr>
                <w:rFonts w:ascii="仿宋_GB2312" w:hAnsi="宋体"/>
                <w:color w:val="000000"/>
                <w:kern w:val="0"/>
                <w:sz w:val="20"/>
                <w:szCs w:val="20"/>
              </w:rPr>
            </w:pPr>
          </w:p>
        </w:tc>
        <w:tc>
          <w:tcPr>
            <w:tcW w:w="710" w:type="dxa"/>
            <w:vMerge w:val="continue"/>
            <w:tcBorders>
              <w:top w:val="nil"/>
              <w:left w:val="nil"/>
              <w:bottom w:val="nil"/>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①是否遵守相关法律法规和业务管理规定；</w:t>
            </w:r>
          </w:p>
        </w:tc>
        <w:tc>
          <w:tcPr>
            <w:tcW w:w="385" w:type="dxa"/>
            <w:tcBorders>
              <w:top w:val="nil"/>
              <w:left w:val="nil"/>
              <w:bottom w:val="nil"/>
              <w:right w:val="single" w:color="auto" w:sz="4" w:space="0"/>
            </w:tcBorders>
          </w:tcPr>
          <w:p>
            <w:pPr>
              <w:widowControl/>
              <w:spacing w:line="280" w:lineRule="exact"/>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vAlign w:val="center"/>
          </w:tcPr>
          <w:p>
            <w:pPr>
              <w:widowControl/>
              <w:jc w:val="left"/>
              <w:rPr>
                <w:rFonts w:ascii="仿宋_GB2312" w:hAnsi="宋体"/>
                <w:color w:val="000000"/>
                <w:kern w:val="0"/>
                <w:sz w:val="20"/>
                <w:szCs w:val="20"/>
              </w:rPr>
            </w:pPr>
          </w:p>
        </w:tc>
        <w:tc>
          <w:tcPr>
            <w:tcW w:w="710" w:type="dxa"/>
            <w:vMerge w:val="continue"/>
            <w:tcBorders>
              <w:top w:val="nil"/>
              <w:left w:val="nil"/>
              <w:bottom w:val="nil"/>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②项目调整及支出调整手续是否完备；</w:t>
            </w:r>
          </w:p>
        </w:tc>
        <w:tc>
          <w:tcPr>
            <w:tcW w:w="385" w:type="dxa"/>
            <w:tcBorders>
              <w:top w:val="nil"/>
              <w:left w:val="nil"/>
              <w:bottom w:val="nil"/>
              <w:right w:val="single" w:color="auto" w:sz="4" w:space="0"/>
            </w:tcBorders>
          </w:tcPr>
          <w:p>
            <w:pPr>
              <w:widowControl/>
              <w:spacing w:line="280" w:lineRule="exact"/>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vAlign w:val="center"/>
          </w:tcPr>
          <w:p>
            <w:pPr>
              <w:widowControl/>
              <w:jc w:val="left"/>
              <w:rPr>
                <w:rFonts w:ascii="仿宋_GB2312" w:hAnsi="宋体"/>
                <w:color w:val="000000"/>
                <w:kern w:val="0"/>
                <w:sz w:val="20"/>
                <w:szCs w:val="20"/>
              </w:rPr>
            </w:pPr>
          </w:p>
        </w:tc>
        <w:tc>
          <w:tcPr>
            <w:tcW w:w="710" w:type="dxa"/>
            <w:vMerge w:val="continue"/>
            <w:tcBorders>
              <w:top w:val="nil"/>
              <w:left w:val="nil"/>
              <w:bottom w:val="nil"/>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③项目合同书、验收报告、技术审定等资料是否齐全并及时归档</w:t>
            </w:r>
            <w:r>
              <w:rPr>
                <w:rFonts w:hint="eastAsia" w:ascii="仿宋_GB2312" w:hAnsi="宋体"/>
                <w:color w:val="000000"/>
                <w:kern w:val="0"/>
                <w:sz w:val="20"/>
                <w:szCs w:val="20"/>
              </w:rPr>
              <w:t>；</w:t>
            </w:r>
          </w:p>
        </w:tc>
        <w:tc>
          <w:tcPr>
            <w:tcW w:w="385" w:type="dxa"/>
            <w:tcBorders>
              <w:top w:val="nil"/>
              <w:left w:val="nil"/>
              <w:bottom w:val="nil"/>
              <w:right w:val="single" w:color="auto" w:sz="4" w:space="0"/>
            </w:tcBorders>
          </w:tcPr>
          <w:p>
            <w:pPr>
              <w:widowControl/>
              <w:spacing w:line="280" w:lineRule="exact"/>
              <w:rPr>
                <w:rFonts w:ascii="宋体" w:hAnsi="宋体"/>
                <w:color w:val="000000"/>
                <w:kern w:val="0"/>
                <w:sz w:val="24"/>
              </w:rPr>
            </w:pPr>
            <w:r>
              <w:rPr>
                <w:rFonts w:hint="eastAsia" w:ascii="宋体" w:hAnsi="宋体"/>
                <w:color w:val="000000"/>
                <w:kern w:val="0"/>
                <w:sz w:val="24"/>
              </w:rPr>
              <w:t>3</w:t>
            </w:r>
          </w:p>
        </w:tc>
      </w:tr>
      <w:tr>
        <w:tblPrEx>
          <w:tblCellMar>
            <w:top w:w="0" w:type="dxa"/>
            <w:left w:w="108" w:type="dxa"/>
            <w:bottom w:w="0" w:type="dxa"/>
            <w:right w:w="108" w:type="dxa"/>
          </w:tblCellMar>
        </w:tblPrEx>
        <w:trPr>
          <w:trHeight w:val="900" w:hRule="atLeast"/>
          <w:jc w:val="center"/>
        </w:trPr>
        <w:tc>
          <w:tcPr>
            <w:tcW w:w="656" w:type="dxa"/>
            <w:vMerge w:val="continue"/>
            <w:tcBorders>
              <w:top w:val="nil"/>
              <w:left w:val="single" w:color="auto" w:sz="4" w:space="0"/>
              <w:bottom w:val="nil"/>
              <w:right w:val="single" w:color="auto" w:sz="4" w:space="0"/>
            </w:tcBorders>
            <w:vAlign w:val="center"/>
          </w:tcPr>
          <w:p>
            <w:pPr>
              <w:widowControl/>
              <w:jc w:val="left"/>
              <w:rPr>
                <w:rFonts w:ascii="仿宋_GB2312" w:hAnsi="宋体"/>
                <w:color w:val="000000"/>
                <w:kern w:val="0"/>
                <w:sz w:val="20"/>
                <w:szCs w:val="20"/>
              </w:rPr>
            </w:pPr>
          </w:p>
        </w:tc>
        <w:tc>
          <w:tcPr>
            <w:tcW w:w="710" w:type="dxa"/>
            <w:vMerge w:val="continue"/>
            <w:tcBorders>
              <w:top w:val="nil"/>
              <w:left w:val="nil"/>
              <w:bottom w:val="nil"/>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④项目实施的人员条件、场地设备，信息支撑等是否落实到位。</w:t>
            </w:r>
          </w:p>
        </w:tc>
        <w:tc>
          <w:tcPr>
            <w:tcW w:w="385" w:type="dxa"/>
            <w:tcBorders>
              <w:top w:val="nil"/>
              <w:left w:val="nil"/>
              <w:bottom w:val="single" w:color="auto" w:sz="4" w:space="0"/>
              <w:right w:val="single" w:color="auto" w:sz="4" w:space="0"/>
            </w:tcBorders>
          </w:tcPr>
          <w:p>
            <w:pPr>
              <w:widowControl/>
              <w:spacing w:line="280" w:lineRule="exact"/>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vAlign w:val="center"/>
          </w:tcPr>
          <w:p>
            <w:pPr>
              <w:widowControl/>
              <w:jc w:val="left"/>
              <w:rPr>
                <w:rFonts w:ascii="仿宋_GB2312" w:hAnsi="宋体"/>
                <w:color w:val="000000"/>
                <w:kern w:val="0"/>
                <w:sz w:val="20"/>
                <w:szCs w:val="20"/>
              </w:rPr>
            </w:pPr>
          </w:p>
        </w:tc>
        <w:tc>
          <w:tcPr>
            <w:tcW w:w="710" w:type="dxa"/>
            <w:vMerge w:val="continue"/>
            <w:tcBorders>
              <w:top w:val="nil"/>
              <w:left w:val="nil"/>
              <w:bottom w:val="nil"/>
              <w:right w:val="single" w:color="auto" w:sz="4" w:space="0"/>
            </w:tcBorders>
            <w:vAlign w:val="center"/>
          </w:tcPr>
          <w:p>
            <w:pPr>
              <w:widowControl/>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项目质量可控性</w:t>
            </w:r>
          </w:p>
          <w:p>
            <w:pPr>
              <w:widowControl/>
              <w:jc w:val="center"/>
              <w:rPr>
                <w:rFonts w:ascii="仿宋_GB2312" w:hAnsi="宋体"/>
                <w:color w:val="000000"/>
                <w:kern w:val="0"/>
                <w:sz w:val="20"/>
                <w:szCs w:val="20"/>
              </w:rPr>
            </w:pPr>
            <w:r>
              <w:rPr>
                <w:rFonts w:ascii="仿宋_GB2312" w:hAnsi="宋体"/>
                <w:color w:val="000000"/>
                <w:kern w:val="0"/>
                <w:sz w:val="20"/>
                <w:szCs w:val="20"/>
              </w:rPr>
              <w:t>（4分）</w:t>
            </w:r>
          </w:p>
        </w:tc>
        <w:tc>
          <w:tcPr>
            <w:tcW w:w="3080" w:type="dxa"/>
            <w:vMerge w:val="restart"/>
            <w:tcBorders>
              <w:top w:val="nil"/>
              <w:left w:val="nil"/>
              <w:bottom w:val="single" w:color="000000" w:sz="4" w:space="0"/>
              <w:right w:val="single" w:color="auto" w:sz="4" w:space="0"/>
            </w:tcBorders>
            <w:vAlign w:val="center"/>
          </w:tcPr>
          <w:p>
            <w:pPr>
              <w:widowControl/>
              <w:rPr>
                <w:rFonts w:ascii="仿宋_GB2312" w:hAnsi="宋体"/>
                <w:color w:val="000000"/>
                <w:kern w:val="0"/>
                <w:sz w:val="20"/>
                <w:szCs w:val="20"/>
              </w:rPr>
            </w:pPr>
            <w:r>
              <w:rPr>
                <w:rFonts w:ascii="仿宋_GB2312" w:hAnsi="宋体"/>
                <w:color w:val="000000"/>
                <w:kern w:val="0"/>
                <w:sz w:val="20"/>
                <w:szCs w:val="20"/>
              </w:rPr>
              <w:t>项目实施单位是否为达到项目质量要求而采取了必需的措施，用以反映和考核项目实施单位对项目质量的控制情况。</w:t>
            </w:r>
          </w:p>
        </w:tc>
        <w:tc>
          <w:tcPr>
            <w:tcW w:w="4502" w:type="dxa"/>
            <w:tcBorders>
              <w:top w:val="nil"/>
              <w:left w:val="nil"/>
              <w:bottom w:val="nil"/>
              <w:right w:val="single" w:color="auto" w:sz="4" w:space="0"/>
            </w:tcBorders>
            <w:vAlign w:val="center"/>
          </w:tcPr>
          <w:p>
            <w:pPr>
              <w:widowControl/>
              <w:rPr>
                <w:rFonts w:ascii="仿宋_GB2312" w:hAnsi="宋体"/>
                <w:color w:val="000000"/>
                <w:kern w:val="0"/>
                <w:sz w:val="20"/>
                <w:szCs w:val="20"/>
              </w:rPr>
            </w:pPr>
            <w:r>
              <w:rPr>
                <w:rFonts w:ascii="仿宋_GB2312" w:hAnsi="宋体"/>
                <w:color w:val="000000"/>
                <w:kern w:val="0"/>
                <w:sz w:val="20"/>
                <w:szCs w:val="20"/>
              </w:rPr>
              <w:t>评价要点：</w:t>
            </w:r>
          </w:p>
        </w:tc>
        <w:tc>
          <w:tcPr>
            <w:tcW w:w="385" w:type="dxa"/>
            <w:tcBorders>
              <w:top w:val="nil"/>
              <w:left w:val="nil"/>
              <w:bottom w:val="nil"/>
              <w:right w:val="single" w:color="auto" w:sz="4" w:space="0"/>
            </w:tcBorders>
          </w:tcPr>
          <w:p>
            <w:pPr>
              <w:widowControl/>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vAlign w:val="center"/>
          </w:tcPr>
          <w:p>
            <w:pPr>
              <w:widowControl/>
              <w:jc w:val="left"/>
              <w:rPr>
                <w:rFonts w:ascii="仿宋_GB2312" w:hAnsi="宋体"/>
                <w:color w:val="000000"/>
                <w:kern w:val="0"/>
                <w:sz w:val="20"/>
                <w:szCs w:val="20"/>
              </w:rPr>
            </w:pPr>
          </w:p>
        </w:tc>
        <w:tc>
          <w:tcPr>
            <w:tcW w:w="710" w:type="dxa"/>
            <w:vMerge w:val="continue"/>
            <w:tcBorders>
              <w:top w:val="nil"/>
              <w:left w:val="nil"/>
              <w:bottom w:val="nil"/>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vAlign w:val="center"/>
          </w:tcPr>
          <w:p>
            <w:pPr>
              <w:widowControl/>
              <w:rPr>
                <w:rFonts w:ascii="仿宋_GB2312" w:hAnsi="宋体"/>
                <w:color w:val="000000"/>
                <w:kern w:val="0"/>
                <w:sz w:val="20"/>
                <w:szCs w:val="20"/>
              </w:rPr>
            </w:pPr>
            <w:r>
              <w:rPr>
                <w:rFonts w:ascii="仿宋_GB2312" w:hAnsi="宋体"/>
                <w:color w:val="000000"/>
                <w:kern w:val="0"/>
                <w:sz w:val="20"/>
                <w:szCs w:val="20"/>
              </w:rPr>
              <w:t>①是否已制定或其有相应的项目质量要求或标准；</w:t>
            </w:r>
          </w:p>
        </w:tc>
        <w:tc>
          <w:tcPr>
            <w:tcW w:w="385" w:type="dxa"/>
            <w:tcBorders>
              <w:top w:val="nil"/>
              <w:left w:val="nil"/>
              <w:bottom w:val="nil"/>
              <w:right w:val="single" w:color="auto" w:sz="4" w:space="0"/>
            </w:tcBorders>
          </w:tcPr>
          <w:p>
            <w:pPr>
              <w:widowControl/>
              <w:rPr>
                <w:rFonts w:ascii="宋体" w:hAnsi="宋体"/>
                <w:color w:val="000000"/>
                <w:kern w:val="0"/>
                <w:sz w:val="24"/>
              </w:rPr>
            </w:pPr>
          </w:p>
        </w:tc>
      </w:tr>
      <w:tr>
        <w:tblPrEx>
          <w:tblCellMar>
            <w:top w:w="0" w:type="dxa"/>
            <w:left w:w="108" w:type="dxa"/>
            <w:bottom w:w="0" w:type="dxa"/>
            <w:right w:w="108" w:type="dxa"/>
          </w:tblCellMar>
        </w:tblPrEx>
        <w:trPr>
          <w:trHeight w:val="896" w:hRule="atLeast"/>
          <w:jc w:val="center"/>
        </w:trPr>
        <w:tc>
          <w:tcPr>
            <w:tcW w:w="656" w:type="dxa"/>
            <w:vMerge w:val="continue"/>
            <w:tcBorders>
              <w:top w:val="nil"/>
              <w:left w:val="single" w:color="auto" w:sz="4" w:space="0"/>
              <w:bottom w:val="nil"/>
              <w:right w:val="single" w:color="auto" w:sz="4" w:space="0"/>
            </w:tcBorders>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auto"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vAlign w:val="center"/>
          </w:tcPr>
          <w:p>
            <w:pPr>
              <w:widowControl/>
              <w:rPr>
                <w:rFonts w:ascii="仿宋_GB2312" w:hAnsi="宋体"/>
                <w:color w:val="000000"/>
                <w:kern w:val="0"/>
                <w:sz w:val="20"/>
                <w:szCs w:val="20"/>
              </w:rPr>
            </w:pPr>
            <w:r>
              <w:rPr>
                <w:rFonts w:ascii="仿宋_GB2312" w:hAnsi="宋体"/>
                <w:color w:val="000000"/>
                <w:kern w:val="0"/>
                <w:sz w:val="20"/>
                <w:szCs w:val="20"/>
              </w:rPr>
              <w:t>②是否采取了相应的项目质量检查、验收等必需的控制措施或手段。</w:t>
            </w:r>
          </w:p>
        </w:tc>
        <w:tc>
          <w:tcPr>
            <w:tcW w:w="385" w:type="dxa"/>
            <w:tcBorders>
              <w:top w:val="nil"/>
              <w:left w:val="nil"/>
              <w:bottom w:val="single" w:color="auto" w:sz="4" w:space="0"/>
              <w:right w:val="single" w:color="auto" w:sz="4" w:space="0"/>
            </w:tcBorders>
          </w:tcPr>
          <w:p>
            <w:pPr>
              <w:widowControl/>
              <w:rPr>
                <w:rFonts w:ascii="宋体" w:hAnsi="宋体"/>
                <w:color w:val="000000"/>
                <w:kern w:val="0"/>
                <w:sz w:val="24"/>
              </w:rPr>
            </w:pPr>
            <w:r>
              <w:rPr>
                <w:rFonts w:hint="eastAsia" w:ascii="宋体" w:hAnsi="宋体"/>
                <w:color w:val="000000"/>
                <w:kern w:val="0"/>
                <w:sz w:val="24"/>
              </w:rPr>
              <w:t>4</w:t>
            </w: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vAlign w:val="center"/>
          </w:tcPr>
          <w:p>
            <w:pPr>
              <w:widowControl/>
              <w:jc w:val="left"/>
              <w:rPr>
                <w:rFonts w:ascii="仿宋_GB2312" w:hAnsi="宋体"/>
                <w:color w:val="000000"/>
                <w:kern w:val="0"/>
                <w:sz w:val="20"/>
                <w:szCs w:val="20"/>
              </w:rPr>
            </w:pPr>
          </w:p>
        </w:tc>
        <w:tc>
          <w:tcPr>
            <w:tcW w:w="710" w:type="dxa"/>
            <w:vMerge w:val="restart"/>
            <w:tcBorders>
              <w:top w:val="single" w:color="auto" w:sz="4" w:space="0"/>
              <w:left w:val="nil"/>
              <w:bottom w:val="single" w:color="000000" w:sz="4" w:space="0"/>
              <w:right w:val="single" w:color="auto" w:sz="4" w:space="0"/>
            </w:tcBorders>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财务管理</w:t>
            </w:r>
          </w:p>
          <w:p>
            <w:pPr>
              <w:widowControl/>
              <w:jc w:val="center"/>
              <w:rPr>
                <w:rFonts w:ascii="仿宋_GB2312" w:hAnsi="宋体"/>
                <w:color w:val="000000"/>
                <w:kern w:val="0"/>
                <w:sz w:val="20"/>
                <w:szCs w:val="20"/>
              </w:rPr>
            </w:pPr>
            <w:r>
              <w:rPr>
                <w:rFonts w:ascii="仿宋_GB2312" w:hAnsi="宋体"/>
                <w:color w:val="000000"/>
                <w:kern w:val="0"/>
                <w:sz w:val="20"/>
                <w:szCs w:val="20"/>
              </w:rPr>
              <w:t>（20分）</w:t>
            </w:r>
          </w:p>
        </w:tc>
        <w:tc>
          <w:tcPr>
            <w:tcW w:w="1275" w:type="dxa"/>
            <w:vMerge w:val="restart"/>
            <w:tcBorders>
              <w:top w:val="nil"/>
              <w:left w:val="nil"/>
              <w:bottom w:val="single" w:color="000000" w:sz="4" w:space="0"/>
              <w:right w:val="single" w:color="auto" w:sz="4" w:space="0"/>
            </w:tcBorders>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管理制度健全性</w:t>
            </w:r>
          </w:p>
          <w:p>
            <w:pPr>
              <w:widowControl/>
              <w:jc w:val="center"/>
              <w:rPr>
                <w:rFonts w:ascii="仿宋_GB2312" w:hAnsi="宋体"/>
                <w:color w:val="000000"/>
                <w:kern w:val="0"/>
                <w:sz w:val="20"/>
                <w:szCs w:val="20"/>
              </w:rPr>
            </w:pPr>
            <w:r>
              <w:rPr>
                <w:rFonts w:ascii="仿宋_GB2312" w:hAnsi="宋体"/>
                <w:color w:val="000000"/>
                <w:kern w:val="0"/>
                <w:sz w:val="20"/>
                <w:szCs w:val="20"/>
              </w:rPr>
              <w:t>（5分）</w:t>
            </w:r>
          </w:p>
        </w:tc>
        <w:tc>
          <w:tcPr>
            <w:tcW w:w="3080" w:type="dxa"/>
            <w:vMerge w:val="restart"/>
            <w:tcBorders>
              <w:top w:val="nil"/>
              <w:left w:val="nil"/>
              <w:bottom w:val="single" w:color="000000" w:sz="4" w:space="0"/>
              <w:right w:val="single" w:color="auto" w:sz="4" w:space="0"/>
            </w:tcBorders>
            <w:vAlign w:val="center"/>
          </w:tcPr>
          <w:p>
            <w:pPr>
              <w:widowControl/>
              <w:rPr>
                <w:rFonts w:ascii="仿宋_GB2312" w:hAnsi="宋体"/>
                <w:color w:val="000000"/>
                <w:kern w:val="0"/>
                <w:sz w:val="20"/>
                <w:szCs w:val="20"/>
              </w:rPr>
            </w:pPr>
            <w:r>
              <w:rPr>
                <w:rFonts w:ascii="仿宋_GB2312" w:hAnsi="宋体"/>
                <w:color w:val="000000"/>
                <w:kern w:val="0"/>
                <w:sz w:val="20"/>
                <w:szCs w:val="20"/>
              </w:rPr>
              <w:t>项目实施单位的财务制度是否健全，用以反映和考核财务管理制度对资金规范安全运行的保障情况。</w:t>
            </w:r>
          </w:p>
        </w:tc>
        <w:tc>
          <w:tcPr>
            <w:tcW w:w="4502" w:type="dxa"/>
            <w:tcBorders>
              <w:top w:val="nil"/>
              <w:left w:val="nil"/>
              <w:bottom w:val="nil"/>
              <w:right w:val="single" w:color="auto" w:sz="4" w:space="0"/>
            </w:tcBorders>
            <w:vAlign w:val="center"/>
          </w:tcPr>
          <w:p>
            <w:pPr>
              <w:widowControl/>
              <w:jc w:val="left"/>
              <w:rPr>
                <w:rFonts w:ascii="仿宋_GB2312" w:hAnsi="宋体"/>
                <w:color w:val="000000"/>
                <w:kern w:val="0"/>
                <w:sz w:val="20"/>
                <w:szCs w:val="20"/>
              </w:rPr>
            </w:pPr>
            <w:r>
              <w:rPr>
                <w:rFonts w:ascii="仿宋_GB2312" w:hAnsi="宋体"/>
                <w:color w:val="000000"/>
                <w:kern w:val="0"/>
                <w:sz w:val="20"/>
                <w:szCs w:val="20"/>
              </w:rPr>
              <w:t>评价要点：</w:t>
            </w:r>
          </w:p>
        </w:tc>
        <w:tc>
          <w:tcPr>
            <w:tcW w:w="385" w:type="dxa"/>
            <w:tcBorders>
              <w:top w:val="nil"/>
              <w:left w:val="nil"/>
              <w:bottom w:val="nil"/>
              <w:right w:val="single" w:color="auto" w:sz="4" w:space="0"/>
            </w:tcBorders>
          </w:tcPr>
          <w:p>
            <w:pPr>
              <w:widowControl/>
              <w:jc w:val="left"/>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vAlign w:val="center"/>
          </w:tcPr>
          <w:p>
            <w:pPr>
              <w:widowControl/>
              <w:jc w:val="left"/>
              <w:rPr>
                <w:rFonts w:ascii="仿宋_GB2312" w:hAnsi="宋体"/>
                <w:color w:val="000000"/>
                <w:kern w:val="0"/>
                <w:sz w:val="20"/>
                <w:szCs w:val="20"/>
              </w:rPr>
            </w:pPr>
            <w:r>
              <w:rPr>
                <w:rFonts w:ascii="仿宋_GB2312" w:hAnsi="宋体"/>
                <w:color w:val="000000"/>
                <w:kern w:val="0"/>
                <w:sz w:val="20"/>
                <w:szCs w:val="20"/>
              </w:rPr>
              <w:t>①是否已制定或具有相应的项目资金管理办法；</w:t>
            </w:r>
          </w:p>
        </w:tc>
        <w:tc>
          <w:tcPr>
            <w:tcW w:w="385" w:type="dxa"/>
            <w:tcBorders>
              <w:top w:val="nil"/>
              <w:left w:val="nil"/>
              <w:bottom w:val="nil"/>
              <w:right w:val="single" w:color="auto" w:sz="4" w:space="0"/>
            </w:tcBorders>
          </w:tcPr>
          <w:p>
            <w:pPr>
              <w:widowControl/>
              <w:jc w:val="left"/>
              <w:rPr>
                <w:rFonts w:ascii="宋体" w:hAnsi="宋体"/>
                <w:color w:val="000000"/>
                <w:kern w:val="0"/>
                <w:sz w:val="24"/>
              </w:rPr>
            </w:pPr>
          </w:p>
        </w:tc>
      </w:tr>
      <w:tr>
        <w:tblPrEx>
          <w:tblCellMar>
            <w:top w:w="0" w:type="dxa"/>
            <w:left w:w="108" w:type="dxa"/>
            <w:bottom w:w="0" w:type="dxa"/>
            <w:right w:w="108" w:type="dxa"/>
          </w:tblCellMar>
        </w:tblPrEx>
        <w:trPr>
          <w:trHeight w:val="866" w:hRule="atLeast"/>
          <w:jc w:val="center"/>
        </w:trPr>
        <w:tc>
          <w:tcPr>
            <w:tcW w:w="656" w:type="dxa"/>
            <w:vMerge w:val="continue"/>
            <w:tcBorders>
              <w:top w:val="nil"/>
              <w:left w:val="single" w:color="auto" w:sz="4" w:space="0"/>
              <w:bottom w:val="nil"/>
              <w:right w:val="single" w:color="auto" w:sz="4" w:space="0"/>
            </w:tcBorders>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vAlign w:val="center"/>
          </w:tcPr>
          <w:p>
            <w:pPr>
              <w:widowControl/>
              <w:rPr>
                <w:rFonts w:ascii="仿宋_GB2312" w:hAnsi="宋体"/>
                <w:color w:val="000000"/>
                <w:kern w:val="0"/>
                <w:sz w:val="20"/>
                <w:szCs w:val="20"/>
              </w:rPr>
            </w:pPr>
            <w:r>
              <w:rPr>
                <w:rFonts w:ascii="仿宋_GB2312" w:hAnsi="宋体"/>
                <w:color w:val="000000"/>
                <w:kern w:val="0"/>
                <w:sz w:val="20"/>
                <w:szCs w:val="20"/>
              </w:rPr>
              <w:t>②项目资金管理办法是否符合相关财务会计制度的规定。</w:t>
            </w:r>
          </w:p>
        </w:tc>
        <w:tc>
          <w:tcPr>
            <w:tcW w:w="385" w:type="dxa"/>
            <w:tcBorders>
              <w:top w:val="nil"/>
              <w:left w:val="nil"/>
              <w:bottom w:val="single" w:color="auto" w:sz="4" w:space="0"/>
              <w:right w:val="single" w:color="auto" w:sz="4" w:space="0"/>
            </w:tcBorders>
          </w:tcPr>
          <w:p>
            <w:pPr>
              <w:widowControl/>
              <w:rPr>
                <w:rFonts w:ascii="宋体" w:hAnsi="宋体"/>
                <w:color w:val="000000"/>
                <w:kern w:val="0"/>
                <w:sz w:val="24"/>
              </w:rPr>
            </w:pPr>
            <w:r>
              <w:rPr>
                <w:rFonts w:hint="eastAsia" w:ascii="宋体" w:hAnsi="宋体"/>
                <w:color w:val="000000"/>
                <w:kern w:val="0"/>
                <w:sz w:val="24"/>
              </w:rPr>
              <w:t>5</w:t>
            </w: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资金使用合规性</w:t>
            </w:r>
          </w:p>
          <w:p>
            <w:pPr>
              <w:widowControl/>
              <w:jc w:val="center"/>
              <w:rPr>
                <w:rFonts w:ascii="仿宋_GB2312" w:hAnsi="宋体"/>
                <w:color w:val="000000"/>
                <w:kern w:val="0"/>
                <w:sz w:val="20"/>
                <w:szCs w:val="20"/>
              </w:rPr>
            </w:pPr>
            <w:r>
              <w:rPr>
                <w:rFonts w:ascii="仿宋_GB2312" w:hAnsi="宋体"/>
                <w:color w:val="000000"/>
                <w:kern w:val="0"/>
                <w:sz w:val="20"/>
                <w:szCs w:val="20"/>
              </w:rPr>
              <w:t>（7分）</w:t>
            </w:r>
          </w:p>
        </w:tc>
        <w:tc>
          <w:tcPr>
            <w:tcW w:w="3080" w:type="dxa"/>
            <w:vMerge w:val="restart"/>
            <w:tcBorders>
              <w:top w:val="nil"/>
              <w:left w:val="nil"/>
              <w:bottom w:val="single" w:color="000000" w:sz="4" w:space="0"/>
              <w:right w:val="single" w:color="auto" w:sz="4" w:space="0"/>
            </w:tcBorders>
            <w:vAlign w:val="center"/>
          </w:tcPr>
          <w:p>
            <w:pPr>
              <w:widowControl/>
              <w:rPr>
                <w:rFonts w:ascii="仿宋_GB2312" w:hAnsi="宋体"/>
                <w:color w:val="000000"/>
                <w:kern w:val="0"/>
                <w:sz w:val="20"/>
                <w:szCs w:val="20"/>
              </w:rPr>
            </w:pPr>
            <w:r>
              <w:rPr>
                <w:rFonts w:ascii="仿宋_GB2312" w:hAnsi="宋体"/>
                <w:color w:val="000000"/>
                <w:kern w:val="0"/>
                <w:sz w:val="20"/>
                <w:szCs w:val="20"/>
              </w:rPr>
              <w:t>项目资金使用是否符合相关的财务管理制度规定，用以反映和考核项目资金的规范运行情况。</w:t>
            </w:r>
          </w:p>
        </w:tc>
        <w:tc>
          <w:tcPr>
            <w:tcW w:w="4502" w:type="dxa"/>
            <w:tcBorders>
              <w:top w:val="nil"/>
              <w:left w:val="nil"/>
              <w:bottom w:val="nil"/>
              <w:right w:val="single" w:color="auto" w:sz="4" w:space="0"/>
            </w:tcBorders>
            <w:vAlign w:val="center"/>
          </w:tcPr>
          <w:p>
            <w:pPr>
              <w:widowControl/>
              <w:rPr>
                <w:rFonts w:ascii="仿宋_GB2312" w:hAnsi="宋体"/>
                <w:color w:val="000000"/>
                <w:kern w:val="0"/>
                <w:sz w:val="20"/>
                <w:szCs w:val="20"/>
              </w:rPr>
            </w:pPr>
            <w:r>
              <w:rPr>
                <w:rFonts w:ascii="仿宋_GB2312" w:hAnsi="宋体"/>
                <w:color w:val="000000"/>
                <w:kern w:val="0"/>
                <w:sz w:val="20"/>
                <w:szCs w:val="20"/>
              </w:rPr>
              <w:t>评价要点：</w:t>
            </w:r>
          </w:p>
        </w:tc>
        <w:tc>
          <w:tcPr>
            <w:tcW w:w="385" w:type="dxa"/>
            <w:tcBorders>
              <w:top w:val="nil"/>
              <w:left w:val="nil"/>
              <w:bottom w:val="nil"/>
              <w:right w:val="single" w:color="auto" w:sz="4" w:space="0"/>
            </w:tcBorders>
          </w:tcPr>
          <w:p>
            <w:pPr>
              <w:widowControl/>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vAlign w:val="center"/>
          </w:tcPr>
          <w:p>
            <w:pPr>
              <w:widowControl/>
              <w:rPr>
                <w:rFonts w:ascii="仿宋_GB2312" w:hAnsi="宋体"/>
                <w:color w:val="000000"/>
                <w:kern w:val="0"/>
                <w:sz w:val="20"/>
                <w:szCs w:val="20"/>
              </w:rPr>
            </w:pPr>
            <w:r>
              <w:rPr>
                <w:rFonts w:ascii="仿宋_GB2312" w:hAnsi="宋体"/>
                <w:color w:val="000000"/>
                <w:kern w:val="0"/>
                <w:sz w:val="20"/>
                <w:szCs w:val="20"/>
              </w:rPr>
              <w:t>①是否符合国家财经法规和财务管理以及有关专项资金管理办法的规定；</w:t>
            </w:r>
          </w:p>
        </w:tc>
        <w:tc>
          <w:tcPr>
            <w:tcW w:w="385" w:type="dxa"/>
            <w:tcBorders>
              <w:top w:val="nil"/>
              <w:left w:val="nil"/>
              <w:bottom w:val="nil"/>
              <w:right w:val="single" w:color="auto" w:sz="4" w:space="0"/>
            </w:tcBorders>
          </w:tcPr>
          <w:p>
            <w:pPr>
              <w:widowControl/>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vAlign w:val="center"/>
          </w:tcPr>
          <w:p>
            <w:pPr>
              <w:widowControl/>
              <w:rPr>
                <w:rFonts w:ascii="仿宋_GB2312" w:hAnsi="宋体"/>
                <w:color w:val="000000"/>
                <w:kern w:val="0"/>
                <w:sz w:val="20"/>
                <w:szCs w:val="20"/>
              </w:rPr>
            </w:pPr>
            <w:r>
              <w:rPr>
                <w:rFonts w:ascii="仿宋_GB2312" w:hAnsi="宋体"/>
                <w:color w:val="000000"/>
                <w:kern w:val="0"/>
                <w:sz w:val="20"/>
                <w:szCs w:val="20"/>
              </w:rPr>
              <w:t>②资金的拨付是否有完整的审批程序和手续；</w:t>
            </w:r>
          </w:p>
        </w:tc>
        <w:tc>
          <w:tcPr>
            <w:tcW w:w="385" w:type="dxa"/>
            <w:tcBorders>
              <w:top w:val="nil"/>
              <w:left w:val="nil"/>
              <w:bottom w:val="nil"/>
              <w:right w:val="single" w:color="auto" w:sz="4" w:space="0"/>
            </w:tcBorders>
          </w:tcPr>
          <w:p>
            <w:pPr>
              <w:widowControl/>
              <w:rPr>
                <w:rFonts w:ascii="宋体" w:hAnsi="宋体"/>
                <w:color w:val="000000"/>
                <w:kern w:val="0"/>
                <w:sz w:val="24"/>
              </w:rPr>
            </w:pPr>
            <w:r>
              <w:rPr>
                <w:rFonts w:hint="eastAsia" w:ascii="宋体" w:hAnsi="宋体"/>
                <w:color w:val="000000"/>
                <w:kern w:val="0"/>
                <w:sz w:val="24"/>
              </w:rPr>
              <w:t>7</w:t>
            </w: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vAlign w:val="center"/>
          </w:tcPr>
          <w:p>
            <w:pPr>
              <w:widowControl/>
              <w:rPr>
                <w:rFonts w:ascii="仿宋_GB2312" w:hAnsi="宋体"/>
                <w:color w:val="000000"/>
                <w:kern w:val="0"/>
                <w:sz w:val="20"/>
                <w:szCs w:val="20"/>
              </w:rPr>
            </w:pPr>
            <w:r>
              <w:rPr>
                <w:rFonts w:ascii="仿宋_GB2312" w:hAnsi="宋体"/>
                <w:color w:val="000000"/>
                <w:kern w:val="0"/>
                <w:sz w:val="20"/>
                <w:szCs w:val="20"/>
              </w:rPr>
              <w:t>③项目的重大开支是否经过评估认证；</w:t>
            </w:r>
          </w:p>
        </w:tc>
        <w:tc>
          <w:tcPr>
            <w:tcW w:w="385" w:type="dxa"/>
            <w:tcBorders>
              <w:top w:val="nil"/>
              <w:left w:val="nil"/>
              <w:bottom w:val="nil"/>
              <w:right w:val="single" w:color="auto" w:sz="4" w:space="0"/>
            </w:tcBorders>
          </w:tcPr>
          <w:p>
            <w:pPr>
              <w:widowControl/>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auto"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auto"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vAlign w:val="center"/>
          </w:tcPr>
          <w:p>
            <w:pPr>
              <w:widowControl/>
              <w:rPr>
                <w:rFonts w:ascii="仿宋_GB2312" w:hAnsi="宋体"/>
                <w:color w:val="000000"/>
                <w:kern w:val="0"/>
                <w:sz w:val="20"/>
                <w:szCs w:val="20"/>
              </w:rPr>
            </w:pPr>
            <w:r>
              <w:rPr>
                <w:rFonts w:ascii="仿宋_GB2312" w:hAnsi="宋体"/>
                <w:color w:val="000000"/>
                <w:kern w:val="0"/>
                <w:sz w:val="20"/>
                <w:szCs w:val="20"/>
              </w:rPr>
              <w:t>④是否符合项目预算批复或合同规定的用途；</w:t>
            </w:r>
          </w:p>
          <w:p>
            <w:pPr>
              <w:widowControl/>
              <w:rPr>
                <w:rFonts w:ascii="仿宋_GB2312" w:hAnsi="宋体"/>
                <w:color w:val="000000"/>
                <w:kern w:val="0"/>
                <w:sz w:val="20"/>
                <w:szCs w:val="20"/>
              </w:rPr>
            </w:pPr>
            <w:r>
              <w:rPr>
                <w:rFonts w:ascii="仿宋_GB2312" w:hAnsi="宋体"/>
                <w:color w:val="000000"/>
                <w:kern w:val="0"/>
                <w:sz w:val="20"/>
                <w:szCs w:val="20"/>
              </w:rPr>
              <w:t>⑤是否存在截留、挤占、挪用、虚列支出等情况。</w:t>
            </w:r>
          </w:p>
        </w:tc>
        <w:tc>
          <w:tcPr>
            <w:tcW w:w="385" w:type="dxa"/>
            <w:tcBorders>
              <w:top w:val="nil"/>
              <w:left w:val="nil"/>
              <w:bottom w:val="single" w:color="auto" w:sz="4" w:space="0"/>
              <w:right w:val="single" w:color="auto" w:sz="4" w:space="0"/>
            </w:tcBorders>
          </w:tcPr>
          <w:p>
            <w:pPr>
              <w:widowControl/>
              <w:rPr>
                <w:rFonts w:ascii="宋体" w:hAnsi="宋体"/>
                <w:color w:val="000000"/>
                <w:kern w:val="0"/>
                <w:sz w:val="24"/>
              </w:rPr>
            </w:pPr>
          </w:p>
        </w:tc>
      </w:tr>
      <w:tr>
        <w:tblPrEx>
          <w:tblCellMar>
            <w:top w:w="0" w:type="dxa"/>
            <w:left w:w="108" w:type="dxa"/>
            <w:bottom w:w="0" w:type="dxa"/>
            <w:right w:w="108" w:type="dxa"/>
          </w:tblCellMar>
        </w:tblPrEx>
        <w:trPr>
          <w:trHeight w:val="377" w:hRule="atLeast"/>
          <w:jc w:val="center"/>
        </w:trPr>
        <w:tc>
          <w:tcPr>
            <w:tcW w:w="656" w:type="dxa"/>
            <w:vMerge w:val="continue"/>
            <w:tcBorders>
              <w:top w:val="nil"/>
              <w:left w:val="single" w:color="auto" w:sz="4" w:space="0"/>
              <w:bottom w:val="nil"/>
              <w:right w:val="single" w:color="auto" w:sz="4" w:space="0"/>
            </w:tcBorders>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财务监控有效性</w:t>
            </w:r>
          </w:p>
          <w:p>
            <w:pPr>
              <w:widowControl/>
              <w:jc w:val="center"/>
              <w:rPr>
                <w:rFonts w:ascii="仿宋_GB2312" w:hAnsi="宋体"/>
                <w:color w:val="000000"/>
                <w:kern w:val="0"/>
                <w:sz w:val="20"/>
                <w:szCs w:val="20"/>
              </w:rPr>
            </w:pPr>
            <w:r>
              <w:rPr>
                <w:rFonts w:ascii="仿宋_GB2312" w:hAnsi="宋体"/>
                <w:color w:val="000000"/>
                <w:kern w:val="0"/>
                <w:sz w:val="20"/>
                <w:szCs w:val="20"/>
              </w:rPr>
              <w:t>（8分）</w:t>
            </w:r>
          </w:p>
        </w:tc>
        <w:tc>
          <w:tcPr>
            <w:tcW w:w="3080" w:type="dxa"/>
            <w:vMerge w:val="restart"/>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r>
              <w:rPr>
                <w:rFonts w:ascii="仿宋_GB2312" w:hAnsi="宋体"/>
                <w:color w:val="000000"/>
                <w:kern w:val="0"/>
                <w:sz w:val="20"/>
                <w:szCs w:val="20"/>
              </w:rPr>
              <w:t>项目实施单位是否为保障资金的安全、规范运行而采取了必要的监控措施，用以反映和考核项目实施单位对资金运行的控制情况。</w:t>
            </w:r>
          </w:p>
        </w:tc>
        <w:tc>
          <w:tcPr>
            <w:tcW w:w="4502" w:type="dxa"/>
            <w:tcBorders>
              <w:top w:val="nil"/>
              <w:left w:val="nil"/>
              <w:bottom w:val="nil"/>
              <w:right w:val="single" w:color="auto" w:sz="4" w:space="0"/>
            </w:tcBorders>
            <w:vAlign w:val="center"/>
          </w:tcPr>
          <w:p>
            <w:pPr>
              <w:widowControl/>
              <w:jc w:val="left"/>
              <w:rPr>
                <w:rFonts w:ascii="仿宋_GB2312" w:hAnsi="宋体"/>
                <w:color w:val="000000"/>
                <w:kern w:val="0"/>
                <w:sz w:val="20"/>
                <w:szCs w:val="20"/>
              </w:rPr>
            </w:pPr>
            <w:r>
              <w:rPr>
                <w:rFonts w:ascii="仿宋_GB2312" w:hAnsi="宋体"/>
                <w:color w:val="000000"/>
                <w:kern w:val="0"/>
                <w:sz w:val="20"/>
                <w:szCs w:val="20"/>
              </w:rPr>
              <w:t>评价要点：</w:t>
            </w:r>
          </w:p>
        </w:tc>
        <w:tc>
          <w:tcPr>
            <w:tcW w:w="385" w:type="dxa"/>
            <w:tcBorders>
              <w:top w:val="nil"/>
              <w:left w:val="nil"/>
              <w:bottom w:val="nil"/>
              <w:right w:val="single" w:color="auto" w:sz="4" w:space="0"/>
            </w:tcBorders>
          </w:tcPr>
          <w:p>
            <w:pPr>
              <w:widowControl/>
              <w:jc w:val="left"/>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vAlign w:val="center"/>
          </w:tcPr>
          <w:p>
            <w:pPr>
              <w:widowControl/>
              <w:jc w:val="left"/>
              <w:rPr>
                <w:rFonts w:ascii="仿宋_GB2312" w:hAnsi="宋体"/>
                <w:color w:val="000000"/>
                <w:kern w:val="0"/>
                <w:sz w:val="20"/>
                <w:szCs w:val="20"/>
              </w:rPr>
            </w:pPr>
            <w:r>
              <w:rPr>
                <w:rFonts w:ascii="仿宋_GB2312" w:hAnsi="宋体"/>
                <w:color w:val="000000"/>
                <w:kern w:val="0"/>
                <w:sz w:val="20"/>
                <w:szCs w:val="20"/>
              </w:rPr>
              <w:t>①是否已制定或具有相应的监控机制；</w:t>
            </w:r>
          </w:p>
        </w:tc>
        <w:tc>
          <w:tcPr>
            <w:tcW w:w="385" w:type="dxa"/>
            <w:tcBorders>
              <w:top w:val="nil"/>
              <w:left w:val="nil"/>
              <w:bottom w:val="nil"/>
              <w:right w:val="single" w:color="auto" w:sz="4" w:space="0"/>
            </w:tcBorders>
          </w:tcPr>
          <w:p>
            <w:pPr>
              <w:widowControl/>
              <w:jc w:val="left"/>
              <w:rPr>
                <w:rFonts w:ascii="宋体" w:hAnsi="宋体"/>
                <w:color w:val="000000"/>
                <w:kern w:val="0"/>
                <w:sz w:val="24"/>
              </w:rPr>
            </w:pPr>
          </w:p>
        </w:tc>
      </w:tr>
      <w:tr>
        <w:tblPrEx>
          <w:tblCellMar>
            <w:top w:w="0" w:type="dxa"/>
            <w:left w:w="108" w:type="dxa"/>
            <w:bottom w:w="0" w:type="dxa"/>
            <w:right w:w="108" w:type="dxa"/>
          </w:tblCellMar>
        </w:tblPrEx>
        <w:trPr>
          <w:trHeight w:val="824" w:hRule="atLeast"/>
          <w:jc w:val="center"/>
        </w:trPr>
        <w:tc>
          <w:tcPr>
            <w:tcW w:w="656" w:type="dxa"/>
            <w:vMerge w:val="continue"/>
            <w:tcBorders>
              <w:top w:val="nil"/>
              <w:left w:val="single" w:color="auto" w:sz="4" w:space="0"/>
              <w:bottom w:val="nil"/>
              <w:right w:val="single" w:color="auto" w:sz="4" w:space="0"/>
            </w:tcBorders>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vAlign w:val="center"/>
          </w:tcPr>
          <w:p>
            <w:pPr>
              <w:widowControl/>
              <w:rPr>
                <w:rFonts w:ascii="仿宋_GB2312" w:hAnsi="宋体"/>
                <w:color w:val="000000"/>
                <w:kern w:val="0"/>
                <w:sz w:val="20"/>
                <w:szCs w:val="20"/>
              </w:rPr>
            </w:pPr>
            <w:r>
              <w:rPr>
                <w:rFonts w:ascii="仿宋_GB2312" w:hAnsi="宋体"/>
                <w:color w:val="000000"/>
                <w:kern w:val="0"/>
                <w:sz w:val="20"/>
                <w:szCs w:val="20"/>
              </w:rPr>
              <w:t>②是否采取了相应的财务检查等必要的监控措施或手段。</w:t>
            </w:r>
          </w:p>
        </w:tc>
        <w:tc>
          <w:tcPr>
            <w:tcW w:w="385" w:type="dxa"/>
            <w:tcBorders>
              <w:top w:val="nil"/>
              <w:left w:val="nil"/>
              <w:bottom w:val="single" w:color="auto" w:sz="4" w:space="0"/>
              <w:right w:val="single" w:color="auto" w:sz="4" w:space="0"/>
            </w:tcBorders>
          </w:tcPr>
          <w:p>
            <w:pPr>
              <w:widowControl/>
              <w:rPr>
                <w:rFonts w:ascii="宋体" w:hAnsi="宋体"/>
                <w:color w:val="000000"/>
                <w:kern w:val="0"/>
                <w:sz w:val="24"/>
              </w:rPr>
            </w:pPr>
            <w:r>
              <w:rPr>
                <w:rFonts w:hint="eastAsia" w:ascii="宋体" w:hAnsi="宋体"/>
                <w:color w:val="000000"/>
                <w:kern w:val="0"/>
                <w:sz w:val="24"/>
              </w:rPr>
              <w:t>8</w:t>
            </w:r>
          </w:p>
        </w:tc>
      </w:tr>
      <w:tr>
        <w:tblPrEx>
          <w:tblCellMar>
            <w:top w:w="0" w:type="dxa"/>
            <w:left w:w="108" w:type="dxa"/>
            <w:bottom w:w="0" w:type="dxa"/>
            <w:right w:w="108" w:type="dxa"/>
          </w:tblCellMar>
        </w:tblPrEx>
        <w:trPr>
          <w:jc w:val="center"/>
        </w:trPr>
        <w:tc>
          <w:tcPr>
            <w:tcW w:w="656"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产出</w:t>
            </w:r>
          </w:p>
          <w:p>
            <w:pPr>
              <w:widowControl/>
              <w:jc w:val="center"/>
              <w:rPr>
                <w:rFonts w:ascii="仿宋_GB2312" w:hAnsi="宋体"/>
                <w:color w:val="000000"/>
                <w:kern w:val="0"/>
                <w:sz w:val="20"/>
                <w:szCs w:val="20"/>
              </w:rPr>
            </w:pPr>
            <w:r>
              <w:rPr>
                <w:rFonts w:ascii="仿宋_GB2312" w:hAnsi="宋体"/>
                <w:color w:val="000000"/>
                <w:kern w:val="0"/>
                <w:sz w:val="20"/>
                <w:szCs w:val="20"/>
              </w:rPr>
              <w:t>（30分）</w:t>
            </w:r>
          </w:p>
        </w:tc>
        <w:tc>
          <w:tcPr>
            <w:tcW w:w="710" w:type="dxa"/>
            <w:vMerge w:val="restart"/>
            <w:tcBorders>
              <w:top w:val="nil"/>
              <w:left w:val="nil"/>
              <w:bottom w:val="single" w:color="000000" w:sz="4" w:space="0"/>
              <w:right w:val="single" w:color="auto" w:sz="4" w:space="0"/>
            </w:tcBorders>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项目产出</w:t>
            </w:r>
          </w:p>
          <w:p>
            <w:pPr>
              <w:widowControl/>
              <w:jc w:val="center"/>
              <w:rPr>
                <w:rFonts w:ascii="仿宋_GB2312" w:hAnsi="宋体"/>
                <w:color w:val="000000"/>
                <w:kern w:val="0"/>
                <w:sz w:val="20"/>
                <w:szCs w:val="20"/>
              </w:rPr>
            </w:pPr>
            <w:r>
              <w:rPr>
                <w:rFonts w:ascii="仿宋_GB2312" w:hAnsi="宋体"/>
                <w:color w:val="000000"/>
                <w:kern w:val="0"/>
                <w:sz w:val="20"/>
                <w:szCs w:val="20"/>
              </w:rPr>
              <w:t>（30分）</w:t>
            </w:r>
          </w:p>
        </w:tc>
        <w:tc>
          <w:tcPr>
            <w:tcW w:w="1275" w:type="dxa"/>
            <w:vMerge w:val="restart"/>
            <w:tcBorders>
              <w:top w:val="nil"/>
              <w:left w:val="nil"/>
              <w:bottom w:val="single" w:color="000000" w:sz="4" w:space="0"/>
              <w:right w:val="single" w:color="auto" w:sz="4" w:space="0"/>
            </w:tcBorders>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实际完成率（7分）</w:t>
            </w:r>
          </w:p>
        </w:tc>
        <w:tc>
          <w:tcPr>
            <w:tcW w:w="3080" w:type="dxa"/>
            <w:vMerge w:val="restart"/>
            <w:tcBorders>
              <w:top w:val="nil"/>
              <w:left w:val="nil"/>
              <w:bottom w:val="single" w:color="000000" w:sz="4" w:space="0"/>
              <w:right w:val="single" w:color="auto" w:sz="4" w:space="0"/>
            </w:tcBorders>
            <w:vAlign w:val="center"/>
          </w:tcPr>
          <w:p>
            <w:pPr>
              <w:widowControl/>
              <w:rPr>
                <w:rFonts w:ascii="仿宋_GB2312" w:hAnsi="宋体"/>
                <w:color w:val="000000"/>
                <w:kern w:val="0"/>
                <w:sz w:val="20"/>
                <w:szCs w:val="20"/>
              </w:rPr>
            </w:pPr>
            <w:r>
              <w:rPr>
                <w:rFonts w:ascii="仿宋_GB2312" w:hAnsi="宋体"/>
                <w:color w:val="000000"/>
                <w:kern w:val="0"/>
                <w:sz w:val="20"/>
                <w:szCs w:val="20"/>
              </w:rPr>
              <w:t>项目实施的实际产出数与计划产出数的比率，用以反映和考核项目产出数量目标的实现程度。</w:t>
            </w:r>
          </w:p>
        </w:tc>
        <w:tc>
          <w:tcPr>
            <w:tcW w:w="4502" w:type="dxa"/>
            <w:tcBorders>
              <w:top w:val="nil"/>
              <w:left w:val="nil"/>
              <w:bottom w:val="nil"/>
              <w:right w:val="single" w:color="auto" w:sz="4" w:space="0"/>
            </w:tcBorders>
            <w:vAlign w:val="center"/>
          </w:tcPr>
          <w:p>
            <w:pPr>
              <w:widowControl/>
              <w:jc w:val="left"/>
              <w:rPr>
                <w:rFonts w:ascii="仿宋_GB2312" w:hAnsi="宋体"/>
                <w:color w:val="000000"/>
                <w:kern w:val="0"/>
                <w:sz w:val="20"/>
                <w:szCs w:val="20"/>
              </w:rPr>
            </w:pPr>
            <w:r>
              <w:rPr>
                <w:rFonts w:ascii="仿宋_GB2312" w:hAnsi="宋体"/>
                <w:color w:val="000000"/>
                <w:kern w:val="0"/>
                <w:sz w:val="20"/>
                <w:szCs w:val="20"/>
              </w:rPr>
              <w:t>实际完成率＝（实际产出数/计划产出数）×100%。</w:t>
            </w:r>
          </w:p>
        </w:tc>
        <w:tc>
          <w:tcPr>
            <w:tcW w:w="385" w:type="dxa"/>
            <w:tcBorders>
              <w:top w:val="nil"/>
              <w:left w:val="nil"/>
              <w:bottom w:val="nil"/>
              <w:right w:val="single" w:color="auto" w:sz="4" w:space="0"/>
            </w:tcBorders>
          </w:tcPr>
          <w:p>
            <w:pPr>
              <w:widowControl/>
              <w:jc w:val="left"/>
              <w:rPr>
                <w:rFonts w:ascii="宋体" w:hAnsi="宋体"/>
                <w:color w:val="000000"/>
                <w:kern w:val="0"/>
                <w:sz w:val="24"/>
              </w:rPr>
            </w:pPr>
          </w:p>
        </w:tc>
      </w:tr>
      <w:tr>
        <w:tblPrEx>
          <w:tblCellMar>
            <w:top w:w="0" w:type="dxa"/>
            <w:left w:w="108" w:type="dxa"/>
            <w:bottom w:w="0" w:type="dxa"/>
            <w:right w:w="108" w:type="dxa"/>
          </w:tblCellMar>
        </w:tblPrEx>
        <w:trPr>
          <w:trHeight w:val="568" w:hRule="atLeast"/>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vAlign w:val="center"/>
          </w:tcPr>
          <w:p>
            <w:pPr>
              <w:widowControl/>
              <w:jc w:val="left"/>
              <w:rPr>
                <w:rFonts w:ascii="仿宋_GB2312" w:hAnsi="宋体"/>
                <w:color w:val="000000"/>
                <w:kern w:val="0"/>
                <w:sz w:val="20"/>
                <w:szCs w:val="20"/>
              </w:rPr>
            </w:pPr>
            <w:r>
              <w:rPr>
                <w:rFonts w:ascii="仿宋_GB2312" w:hAnsi="宋体"/>
                <w:color w:val="000000"/>
                <w:kern w:val="0"/>
                <w:sz w:val="20"/>
                <w:szCs w:val="20"/>
              </w:rPr>
              <w:t>实际产出数：一定时期（本年度或项目期）内项目实际产出的产品或提供的服务数。</w:t>
            </w:r>
          </w:p>
        </w:tc>
        <w:tc>
          <w:tcPr>
            <w:tcW w:w="385" w:type="dxa"/>
            <w:tcBorders>
              <w:top w:val="nil"/>
              <w:left w:val="nil"/>
              <w:bottom w:val="nil"/>
              <w:right w:val="single" w:color="auto" w:sz="4" w:space="0"/>
            </w:tcBorders>
          </w:tcPr>
          <w:p>
            <w:pPr>
              <w:widowControl/>
              <w:jc w:val="left"/>
              <w:rPr>
                <w:rFonts w:ascii="宋体" w:hAnsi="宋体"/>
                <w:color w:val="000000"/>
                <w:kern w:val="0"/>
                <w:sz w:val="24"/>
              </w:rPr>
            </w:pPr>
            <w:r>
              <w:rPr>
                <w:rFonts w:hint="eastAsia" w:ascii="宋体" w:hAnsi="宋体"/>
                <w:color w:val="000000"/>
                <w:kern w:val="0"/>
                <w:sz w:val="24"/>
              </w:rPr>
              <w:t>7</w:t>
            </w:r>
          </w:p>
        </w:tc>
      </w:tr>
      <w:tr>
        <w:tblPrEx>
          <w:tblCellMar>
            <w:top w:w="0" w:type="dxa"/>
            <w:left w:w="108" w:type="dxa"/>
            <w:bottom w:w="0" w:type="dxa"/>
            <w:right w:w="108" w:type="dxa"/>
          </w:tblCellMar>
        </w:tblPrEx>
        <w:trPr>
          <w:trHeight w:val="822" w:hRule="atLeast"/>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vAlign w:val="center"/>
          </w:tcPr>
          <w:p>
            <w:pPr>
              <w:widowControl/>
              <w:rPr>
                <w:rFonts w:ascii="仿宋_GB2312" w:hAnsi="宋体"/>
                <w:color w:val="000000"/>
                <w:kern w:val="0"/>
                <w:sz w:val="20"/>
                <w:szCs w:val="20"/>
              </w:rPr>
            </w:pPr>
            <w:r>
              <w:rPr>
                <w:rFonts w:ascii="仿宋_GB2312" w:hAnsi="宋体"/>
                <w:color w:val="000000"/>
                <w:kern w:val="0"/>
                <w:sz w:val="20"/>
                <w:szCs w:val="20"/>
              </w:rPr>
              <w:t>计划产出数：项目绩效目标确定的在一定时期（本年度或项目期）内计划产出的产品或提供的服务数量。</w:t>
            </w:r>
          </w:p>
        </w:tc>
        <w:tc>
          <w:tcPr>
            <w:tcW w:w="385" w:type="dxa"/>
            <w:tcBorders>
              <w:top w:val="nil"/>
              <w:left w:val="nil"/>
              <w:bottom w:val="single" w:color="auto" w:sz="4" w:space="0"/>
              <w:right w:val="single" w:color="auto" w:sz="4" w:space="0"/>
            </w:tcBorders>
          </w:tcPr>
          <w:p>
            <w:pPr>
              <w:widowControl/>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完成及时率</w:t>
            </w:r>
          </w:p>
          <w:p>
            <w:pPr>
              <w:widowControl/>
              <w:jc w:val="center"/>
              <w:rPr>
                <w:rFonts w:ascii="仿宋_GB2312" w:hAnsi="宋体"/>
                <w:color w:val="000000"/>
                <w:kern w:val="0"/>
                <w:sz w:val="20"/>
                <w:szCs w:val="20"/>
              </w:rPr>
            </w:pPr>
            <w:r>
              <w:rPr>
                <w:rFonts w:ascii="仿宋_GB2312" w:hAnsi="宋体"/>
                <w:color w:val="000000"/>
                <w:kern w:val="0"/>
                <w:sz w:val="20"/>
                <w:szCs w:val="20"/>
              </w:rPr>
              <w:t>（7分）</w:t>
            </w:r>
          </w:p>
        </w:tc>
        <w:tc>
          <w:tcPr>
            <w:tcW w:w="3080" w:type="dxa"/>
            <w:vMerge w:val="restart"/>
            <w:tcBorders>
              <w:top w:val="nil"/>
              <w:left w:val="nil"/>
              <w:bottom w:val="single" w:color="000000" w:sz="4" w:space="0"/>
              <w:right w:val="single" w:color="auto" w:sz="4" w:space="0"/>
            </w:tcBorders>
            <w:vAlign w:val="center"/>
          </w:tcPr>
          <w:p>
            <w:pPr>
              <w:widowControl/>
              <w:rPr>
                <w:rFonts w:ascii="仿宋_GB2312" w:hAnsi="宋体"/>
                <w:color w:val="000000"/>
                <w:kern w:val="0"/>
                <w:sz w:val="20"/>
                <w:szCs w:val="20"/>
              </w:rPr>
            </w:pPr>
            <w:r>
              <w:rPr>
                <w:rFonts w:ascii="仿宋_GB2312" w:hAnsi="宋体"/>
                <w:color w:val="000000"/>
                <w:kern w:val="0"/>
                <w:sz w:val="20"/>
                <w:szCs w:val="20"/>
              </w:rPr>
              <w:t>项目实际提前完成时间与计划完成时间的比率，用以反映和考核项目产出时效目标的实现程度</w:t>
            </w:r>
          </w:p>
        </w:tc>
        <w:tc>
          <w:tcPr>
            <w:tcW w:w="4502" w:type="dxa"/>
            <w:tcBorders>
              <w:top w:val="nil"/>
              <w:left w:val="nil"/>
              <w:bottom w:val="nil"/>
              <w:right w:val="single" w:color="auto" w:sz="4" w:space="0"/>
            </w:tcBorders>
            <w:vAlign w:val="center"/>
          </w:tcPr>
          <w:p>
            <w:pPr>
              <w:widowControl/>
              <w:jc w:val="left"/>
              <w:rPr>
                <w:rFonts w:ascii="仿宋_GB2312" w:hAnsi="宋体"/>
                <w:color w:val="000000"/>
                <w:kern w:val="0"/>
                <w:sz w:val="20"/>
                <w:szCs w:val="20"/>
              </w:rPr>
            </w:pPr>
            <w:r>
              <w:rPr>
                <w:rFonts w:ascii="仿宋_GB2312" w:hAnsi="宋体"/>
                <w:color w:val="000000"/>
                <w:kern w:val="0"/>
                <w:sz w:val="20"/>
                <w:szCs w:val="20"/>
              </w:rPr>
              <w:t xml:space="preserve">完成及时率[ </w:t>
            </w:r>
            <w:r>
              <w:rPr>
                <w:rFonts w:hint="eastAsia" w:ascii="仿宋_GB2312" w:hAnsi="宋体"/>
                <w:color w:val="000000"/>
                <w:kern w:val="0"/>
                <w:sz w:val="20"/>
                <w:szCs w:val="20"/>
              </w:rPr>
              <w:t>（</w:t>
            </w:r>
            <w:r>
              <w:rPr>
                <w:rFonts w:ascii="仿宋_GB2312" w:hAnsi="宋体"/>
                <w:color w:val="000000"/>
                <w:kern w:val="0"/>
                <w:sz w:val="20"/>
                <w:szCs w:val="20"/>
              </w:rPr>
              <w:t>计划完成时间-实际完成时间）/计划完成时间]</w:t>
            </w:r>
            <w:r>
              <w:rPr>
                <w:rFonts w:ascii="宋体" w:hAnsi="宋体"/>
                <w:color w:val="000000"/>
                <w:kern w:val="0"/>
                <w:sz w:val="20"/>
                <w:szCs w:val="20"/>
              </w:rPr>
              <w:t> </w:t>
            </w:r>
            <w:r>
              <w:rPr>
                <w:rFonts w:ascii="仿宋_GB2312" w:hAnsi="宋体"/>
                <w:color w:val="000000"/>
                <w:kern w:val="0"/>
                <w:sz w:val="20"/>
                <w:szCs w:val="20"/>
              </w:rPr>
              <w:t>×100%。</w:t>
            </w:r>
          </w:p>
        </w:tc>
        <w:tc>
          <w:tcPr>
            <w:tcW w:w="385" w:type="dxa"/>
            <w:tcBorders>
              <w:top w:val="nil"/>
              <w:left w:val="nil"/>
              <w:bottom w:val="nil"/>
              <w:right w:val="single" w:color="auto" w:sz="4" w:space="0"/>
            </w:tcBorders>
          </w:tcPr>
          <w:p>
            <w:pPr>
              <w:widowControl/>
              <w:jc w:val="left"/>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vAlign w:val="center"/>
          </w:tcPr>
          <w:p>
            <w:pPr>
              <w:widowControl/>
              <w:jc w:val="left"/>
              <w:rPr>
                <w:rFonts w:ascii="仿宋_GB2312" w:hAnsi="宋体"/>
                <w:color w:val="000000"/>
                <w:kern w:val="0"/>
                <w:sz w:val="20"/>
                <w:szCs w:val="20"/>
              </w:rPr>
            </w:pPr>
            <w:r>
              <w:rPr>
                <w:rFonts w:ascii="仿宋_GB2312" w:hAnsi="宋体"/>
                <w:color w:val="000000"/>
                <w:kern w:val="0"/>
                <w:sz w:val="20"/>
                <w:szCs w:val="20"/>
              </w:rPr>
              <w:t>实际完成时间：项目实施单位完成该项目实际所耗用的时间。</w:t>
            </w:r>
          </w:p>
        </w:tc>
        <w:tc>
          <w:tcPr>
            <w:tcW w:w="385" w:type="dxa"/>
            <w:tcBorders>
              <w:top w:val="nil"/>
              <w:left w:val="nil"/>
              <w:bottom w:val="nil"/>
              <w:right w:val="single" w:color="auto" w:sz="4" w:space="0"/>
            </w:tcBorders>
          </w:tcPr>
          <w:p>
            <w:pPr>
              <w:widowControl/>
              <w:jc w:val="left"/>
              <w:rPr>
                <w:rFonts w:ascii="宋体" w:hAnsi="宋体"/>
                <w:color w:val="000000"/>
                <w:kern w:val="0"/>
                <w:sz w:val="24"/>
              </w:rPr>
            </w:pPr>
            <w:r>
              <w:rPr>
                <w:rFonts w:hint="eastAsia" w:ascii="宋体" w:hAnsi="宋体"/>
                <w:color w:val="000000"/>
                <w:kern w:val="0"/>
                <w:sz w:val="24"/>
              </w:rPr>
              <w:t>7</w:t>
            </w:r>
          </w:p>
        </w:tc>
      </w:tr>
      <w:tr>
        <w:tblPrEx>
          <w:tblCellMar>
            <w:top w:w="0" w:type="dxa"/>
            <w:left w:w="108" w:type="dxa"/>
            <w:bottom w:w="0" w:type="dxa"/>
            <w:right w:w="108" w:type="dxa"/>
          </w:tblCellMar>
        </w:tblPrEx>
        <w:trPr>
          <w:trHeight w:val="516" w:hRule="atLeast"/>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vAlign w:val="center"/>
          </w:tcPr>
          <w:p>
            <w:pPr>
              <w:widowControl/>
              <w:rPr>
                <w:rFonts w:ascii="仿宋_GB2312" w:hAnsi="宋体"/>
                <w:color w:val="000000"/>
                <w:kern w:val="0"/>
                <w:sz w:val="20"/>
                <w:szCs w:val="20"/>
              </w:rPr>
            </w:pPr>
            <w:r>
              <w:rPr>
                <w:rFonts w:ascii="仿宋_GB2312" w:hAnsi="宋体"/>
                <w:color w:val="000000"/>
                <w:kern w:val="0"/>
                <w:sz w:val="20"/>
                <w:szCs w:val="20"/>
              </w:rPr>
              <w:t>计划完成时间：按照项目实施计划或相关规定完成该项目所需的时间。</w:t>
            </w:r>
          </w:p>
        </w:tc>
        <w:tc>
          <w:tcPr>
            <w:tcW w:w="385" w:type="dxa"/>
            <w:tcBorders>
              <w:top w:val="nil"/>
              <w:left w:val="nil"/>
              <w:bottom w:val="single" w:color="auto" w:sz="4" w:space="0"/>
              <w:right w:val="single" w:color="auto" w:sz="4" w:space="0"/>
            </w:tcBorders>
          </w:tcPr>
          <w:p>
            <w:pPr>
              <w:widowControl/>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质量达标率</w:t>
            </w:r>
          </w:p>
          <w:p>
            <w:pPr>
              <w:widowControl/>
              <w:jc w:val="center"/>
              <w:rPr>
                <w:rFonts w:ascii="仿宋_GB2312" w:hAnsi="宋体"/>
                <w:color w:val="000000"/>
                <w:kern w:val="0"/>
                <w:sz w:val="20"/>
                <w:szCs w:val="20"/>
              </w:rPr>
            </w:pPr>
            <w:r>
              <w:rPr>
                <w:rFonts w:ascii="仿宋_GB2312" w:hAnsi="宋体"/>
                <w:color w:val="000000"/>
                <w:kern w:val="0"/>
                <w:sz w:val="20"/>
                <w:szCs w:val="20"/>
              </w:rPr>
              <w:t>（8分）</w:t>
            </w:r>
          </w:p>
        </w:tc>
        <w:tc>
          <w:tcPr>
            <w:tcW w:w="3080" w:type="dxa"/>
            <w:vMerge w:val="restart"/>
            <w:tcBorders>
              <w:top w:val="nil"/>
              <w:left w:val="nil"/>
              <w:bottom w:val="single" w:color="000000" w:sz="4" w:space="0"/>
              <w:right w:val="single" w:color="auto" w:sz="4" w:space="0"/>
            </w:tcBorders>
            <w:vAlign w:val="center"/>
          </w:tcPr>
          <w:p>
            <w:pPr>
              <w:widowControl/>
              <w:rPr>
                <w:rFonts w:ascii="仿宋_GB2312" w:hAnsi="宋体"/>
                <w:color w:val="000000"/>
                <w:kern w:val="0"/>
                <w:sz w:val="20"/>
                <w:szCs w:val="20"/>
              </w:rPr>
            </w:pPr>
            <w:r>
              <w:rPr>
                <w:rFonts w:ascii="仿宋_GB2312" w:hAnsi="宋体"/>
                <w:color w:val="000000"/>
                <w:kern w:val="0"/>
                <w:sz w:val="20"/>
                <w:szCs w:val="20"/>
              </w:rPr>
              <w:t>项目完成的质量达标产出数与实际产出数的比率，用以反映和考核项目产出质量目标的实现程度。</w:t>
            </w:r>
          </w:p>
        </w:tc>
        <w:tc>
          <w:tcPr>
            <w:tcW w:w="4502" w:type="dxa"/>
            <w:tcBorders>
              <w:top w:val="nil"/>
              <w:left w:val="nil"/>
              <w:bottom w:val="nil"/>
              <w:right w:val="single" w:color="auto" w:sz="4" w:space="0"/>
            </w:tcBorders>
            <w:vAlign w:val="center"/>
          </w:tcPr>
          <w:p>
            <w:pPr>
              <w:widowControl/>
              <w:jc w:val="left"/>
              <w:rPr>
                <w:rFonts w:ascii="仿宋_GB2312" w:hAnsi="宋体"/>
                <w:color w:val="000000"/>
                <w:kern w:val="0"/>
                <w:sz w:val="20"/>
                <w:szCs w:val="20"/>
              </w:rPr>
            </w:pPr>
            <w:r>
              <w:rPr>
                <w:rFonts w:ascii="仿宋_GB2312" w:hAnsi="宋体"/>
                <w:color w:val="000000"/>
                <w:kern w:val="0"/>
                <w:sz w:val="20"/>
                <w:szCs w:val="20"/>
              </w:rPr>
              <w:t>质量达标率＝（质量达标产出数/实际产出数）/100%。</w:t>
            </w:r>
          </w:p>
        </w:tc>
        <w:tc>
          <w:tcPr>
            <w:tcW w:w="385" w:type="dxa"/>
            <w:tcBorders>
              <w:top w:val="nil"/>
              <w:left w:val="nil"/>
              <w:bottom w:val="nil"/>
              <w:right w:val="single" w:color="auto" w:sz="4" w:space="0"/>
            </w:tcBorders>
          </w:tcPr>
          <w:p>
            <w:pPr>
              <w:widowControl/>
              <w:jc w:val="left"/>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vAlign w:val="center"/>
          </w:tcPr>
          <w:p>
            <w:pPr>
              <w:widowControl/>
              <w:jc w:val="left"/>
              <w:rPr>
                <w:rFonts w:ascii="仿宋_GB2312" w:hAnsi="宋体"/>
                <w:color w:val="000000"/>
                <w:kern w:val="0"/>
                <w:sz w:val="20"/>
                <w:szCs w:val="20"/>
              </w:rPr>
            </w:pPr>
            <w:r>
              <w:rPr>
                <w:rFonts w:ascii="仿宋_GB2312" w:hAnsi="宋体"/>
                <w:color w:val="000000"/>
                <w:kern w:val="0"/>
                <w:sz w:val="20"/>
                <w:szCs w:val="20"/>
              </w:rPr>
              <w:t>质量达标产出数：一定时期（本年度或项目期）内实际达到既定质量标准的产品或服务数量。</w:t>
            </w:r>
          </w:p>
        </w:tc>
        <w:tc>
          <w:tcPr>
            <w:tcW w:w="385" w:type="dxa"/>
            <w:tcBorders>
              <w:top w:val="nil"/>
              <w:left w:val="nil"/>
              <w:bottom w:val="nil"/>
              <w:right w:val="single" w:color="auto" w:sz="4" w:space="0"/>
            </w:tcBorders>
          </w:tcPr>
          <w:p>
            <w:pPr>
              <w:widowControl/>
              <w:jc w:val="left"/>
              <w:rPr>
                <w:rFonts w:ascii="宋体" w:hAnsi="宋体"/>
                <w:color w:val="000000"/>
                <w:kern w:val="0"/>
                <w:sz w:val="24"/>
              </w:rPr>
            </w:pPr>
            <w:r>
              <w:rPr>
                <w:rFonts w:hint="eastAsia" w:ascii="宋体" w:hAnsi="宋体"/>
                <w:color w:val="000000"/>
                <w:kern w:val="0"/>
                <w:sz w:val="24"/>
              </w:rPr>
              <w:t>8</w:t>
            </w:r>
          </w:p>
        </w:tc>
      </w:tr>
      <w:tr>
        <w:tblPrEx>
          <w:tblCellMar>
            <w:top w:w="0" w:type="dxa"/>
            <w:left w:w="108" w:type="dxa"/>
            <w:bottom w:w="0" w:type="dxa"/>
            <w:right w:w="108" w:type="dxa"/>
          </w:tblCellMar>
        </w:tblPrEx>
        <w:trPr>
          <w:trHeight w:val="1006" w:hRule="atLeast"/>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vAlign w:val="center"/>
          </w:tcPr>
          <w:p>
            <w:pPr>
              <w:widowControl/>
              <w:rPr>
                <w:rFonts w:ascii="仿宋_GB2312" w:hAnsi="宋体"/>
                <w:color w:val="000000"/>
                <w:kern w:val="0"/>
                <w:sz w:val="20"/>
                <w:szCs w:val="20"/>
              </w:rPr>
            </w:pPr>
            <w:r>
              <w:rPr>
                <w:rFonts w:ascii="仿宋_GB2312" w:hAnsi="宋体"/>
                <w:color w:val="000000"/>
                <w:kern w:val="0"/>
                <w:sz w:val="20"/>
                <w:szCs w:val="20"/>
              </w:rPr>
              <w:t>既定质量标准是指项目实施单位设立绩效目标时依据计划标准、行业标准、历史标准或其他标准而设定的绩效指标值。</w:t>
            </w:r>
          </w:p>
        </w:tc>
        <w:tc>
          <w:tcPr>
            <w:tcW w:w="385" w:type="dxa"/>
            <w:tcBorders>
              <w:top w:val="nil"/>
              <w:left w:val="nil"/>
              <w:bottom w:val="single" w:color="auto" w:sz="4" w:space="0"/>
              <w:right w:val="single" w:color="auto" w:sz="4" w:space="0"/>
            </w:tcBorders>
          </w:tcPr>
          <w:p>
            <w:pPr>
              <w:widowControl/>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成本节约率</w:t>
            </w:r>
          </w:p>
          <w:p>
            <w:pPr>
              <w:widowControl/>
              <w:jc w:val="center"/>
              <w:rPr>
                <w:rFonts w:ascii="仿宋_GB2312" w:hAnsi="宋体"/>
                <w:color w:val="000000"/>
                <w:kern w:val="0"/>
                <w:sz w:val="20"/>
                <w:szCs w:val="20"/>
              </w:rPr>
            </w:pPr>
            <w:r>
              <w:rPr>
                <w:rFonts w:ascii="仿宋_GB2312" w:hAnsi="宋体"/>
                <w:color w:val="000000"/>
                <w:kern w:val="0"/>
                <w:sz w:val="20"/>
                <w:szCs w:val="20"/>
              </w:rPr>
              <w:t>（8分）</w:t>
            </w:r>
          </w:p>
        </w:tc>
        <w:tc>
          <w:tcPr>
            <w:tcW w:w="3080" w:type="dxa"/>
            <w:vMerge w:val="restart"/>
            <w:tcBorders>
              <w:top w:val="nil"/>
              <w:left w:val="nil"/>
              <w:bottom w:val="single" w:color="000000" w:sz="4" w:space="0"/>
              <w:right w:val="single" w:color="auto" w:sz="4" w:space="0"/>
            </w:tcBorders>
            <w:vAlign w:val="center"/>
          </w:tcPr>
          <w:p>
            <w:pPr>
              <w:widowControl/>
              <w:rPr>
                <w:rFonts w:ascii="仿宋_GB2312" w:hAnsi="宋体"/>
                <w:color w:val="000000"/>
                <w:kern w:val="0"/>
                <w:sz w:val="20"/>
                <w:szCs w:val="20"/>
              </w:rPr>
            </w:pPr>
            <w:r>
              <w:rPr>
                <w:rFonts w:ascii="仿宋_GB2312" w:hAnsi="宋体"/>
                <w:color w:val="000000"/>
                <w:kern w:val="0"/>
                <w:sz w:val="20"/>
                <w:szCs w:val="20"/>
              </w:rPr>
              <w:t>完成项目计划工作目标的实际节约成本与计划成本的比率，用以反映和考核项目的成本节约程度。</w:t>
            </w:r>
          </w:p>
        </w:tc>
        <w:tc>
          <w:tcPr>
            <w:tcW w:w="4502" w:type="dxa"/>
            <w:tcBorders>
              <w:top w:val="nil"/>
              <w:left w:val="nil"/>
              <w:bottom w:val="nil"/>
              <w:right w:val="single" w:color="auto" w:sz="4" w:space="0"/>
            </w:tcBorders>
            <w:vAlign w:val="center"/>
          </w:tcPr>
          <w:p>
            <w:pPr>
              <w:widowControl/>
              <w:jc w:val="left"/>
              <w:rPr>
                <w:rFonts w:ascii="仿宋_GB2312" w:hAnsi="宋体"/>
                <w:color w:val="000000"/>
                <w:kern w:val="0"/>
                <w:sz w:val="20"/>
                <w:szCs w:val="20"/>
              </w:rPr>
            </w:pPr>
            <w:r>
              <w:rPr>
                <w:rFonts w:ascii="仿宋_GB2312" w:hAnsi="宋体"/>
                <w:color w:val="000000"/>
                <w:kern w:val="0"/>
                <w:sz w:val="20"/>
                <w:szCs w:val="20"/>
              </w:rPr>
              <w:t>成本节约率＝</w:t>
            </w:r>
            <w:r>
              <w:rPr>
                <w:rFonts w:hint="eastAsia" w:ascii="仿宋_GB2312" w:hAnsi="宋体"/>
                <w:color w:val="000000"/>
                <w:kern w:val="0"/>
                <w:sz w:val="20"/>
                <w:szCs w:val="20"/>
              </w:rPr>
              <w:t>（</w:t>
            </w:r>
            <w:r>
              <w:rPr>
                <w:rFonts w:ascii="仿宋_GB2312" w:hAnsi="宋体"/>
                <w:color w:val="000000"/>
                <w:kern w:val="0"/>
                <w:sz w:val="20"/>
                <w:szCs w:val="20"/>
              </w:rPr>
              <w:t>计划成本-实际成本</w:t>
            </w:r>
            <w:r>
              <w:rPr>
                <w:rFonts w:hint="eastAsia" w:ascii="仿宋_GB2312" w:hAnsi="宋体"/>
                <w:color w:val="000000"/>
                <w:kern w:val="0"/>
                <w:sz w:val="20"/>
                <w:szCs w:val="20"/>
              </w:rPr>
              <w:t>）</w:t>
            </w:r>
            <w:r>
              <w:rPr>
                <w:rFonts w:ascii="宋体" w:hAnsi="宋体"/>
                <w:color w:val="000000"/>
                <w:kern w:val="0"/>
                <w:sz w:val="20"/>
                <w:szCs w:val="20"/>
              </w:rPr>
              <w:t> </w:t>
            </w:r>
            <w:r>
              <w:rPr>
                <w:rFonts w:ascii="仿宋_GB2312" w:hAnsi="宋体"/>
                <w:color w:val="000000"/>
                <w:kern w:val="0"/>
                <w:sz w:val="20"/>
                <w:szCs w:val="20"/>
              </w:rPr>
              <w:t>/计划成本×100%。</w:t>
            </w:r>
          </w:p>
        </w:tc>
        <w:tc>
          <w:tcPr>
            <w:tcW w:w="385" w:type="dxa"/>
            <w:tcBorders>
              <w:top w:val="nil"/>
              <w:left w:val="nil"/>
              <w:bottom w:val="nil"/>
              <w:right w:val="single" w:color="auto" w:sz="4" w:space="0"/>
            </w:tcBorders>
          </w:tcPr>
          <w:p>
            <w:pPr>
              <w:widowControl/>
              <w:jc w:val="left"/>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vAlign w:val="center"/>
          </w:tcPr>
          <w:p>
            <w:pPr>
              <w:widowControl/>
              <w:jc w:val="left"/>
              <w:rPr>
                <w:rFonts w:ascii="仿宋_GB2312" w:hAnsi="宋体"/>
                <w:color w:val="000000"/>
                <w:kern w:val="0"/>
                <w:sz w:val="20"/>
                <w:szCs w:val="20"/>
              </w:rPr>
            </w:pPr>
            <w:r>
              <w:rPr>
                <w:rFonts w:ascii="仿宋_GB2312" w:hAnsi="宋体"/>
                <w:color w:val="000000"/>
                <w:kern w:val="0"/>
                <w:sz w:val="20"/>
                <w:szCs w:val="20"/>
              </w:rPr>
              <w:t>实际成本：项目实施单位如期、保质、保量完成既定工作目标实际所耗费的支出。</w:t>
            </w:r>
          </w:p>
        </w:tc>
        <w:tc>
          <w:tcPr>
            <w:tcW w:w="385" w:type="dxa"/>
            <w:tcBorders>
              <w:top w:val="nil"/>
              <w:left w:val="nil"/>
              <w:bottom w:val="nil"/>
              <w:right w:val="single" w:color="auto" w:sz="4" w:space="0"/>
            </w:tcBorders>
          </w:tcPr>
          <w:p>
            <w:pPr>
              <w:widowControl/>
              <w:jc w:val="left"/>
              <w:rPr>
                <w:rFonts w:ascii="宋体" w:hAnsi="宋体"/>
                <w:color w:val="000000"/>
                <w:kern w:val="0"/>
                <w:sz w:val="24"/>
              </w:rPr>
            </w:pPr>
            <w:r>
              <w:rPr>
                <w:rFonts w:hint="eastAsia" w:ascii="宋体" w:hAnsi="宋体"/>
                <w:color w:val="000000"/>
                <w:kern w:val="0"/>
                <w:sz w:val="24"/>
              </w:rPr>
              <w:t>8</w:t>
            </w:r>
          </w:p>
        </w:tc>
      </w:tr>
      <w:tr>
        <w:tblPrEx>
          <w:tblCellMar>
            <w:top w:w="0" w:type="dxa"/>
            <w:left w:w="108" w:type="dxa"/>
            <w:bottom w:w="0" w:type="dxa"/>
            <w:right w:w="108" w:type="dxa"/>
          </w:tblCellMar>
        </w:tblPrEx>
        <w:trPr>
          <w:trHeight w:val="567" w:hRule="atLeast"/>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vAlign w:val="center"/>
          </w:tcPr>
          <w:p>
            <w:pPr>
              <w:widowControl/>
              <w:rPr>
                <w:rFonts w:ascii="仿宋_GB2312" w:hAnsi="宋体"/>
                <w:color w:val="000000"/>
                <w:kern w:val="0"/>
                <w:sz w:val="20"/>
                <w:szCs w:val="20"/>
              </w:rPr>
            </w:pPr>
            <w:r>
              <w:rPr>
                <w:rFonts w:ascii="仿宋_GB2312" w:hAnsi="宋体"/>
                <w:color w:val="000000"/>
                <w:kern w:val="0"/>
                <w:sz w:val="20"/>
                <w:szCs w:val="20"/>
              </w:rPr>
              <w:t>计划成本：项目实施单位为完成工作目标计划安排的支出，一般以项目预算为参考。</w:t>
            </w:r>
          </w:p>
        </w:tc>
        <w:tc>
          <w:tcPr>
            <w:tcW w:w="385" w:type="dxa"/>
            <w:tcBorders>
              <w:top w:val="nil"/>
              <w:left w:val="nil"/>
              <w:bottom w:val="single" w:color="auto" w:sz="4" w:space="0"/>
              <w:right w:val="single" w:color="auto" w:sz="4" w:space="0"/>
            </w:tcBorders>
          </w:tcPr>
          <w:p>
            <w:pPr>
              <w:widowControl/>
              <w:rPr>
                <w:rFonts w:ascii="宋体" w:hAnsi="宋体"/>
                <w:color w:val="000000"/>
                <w:kern w:val="0"/>
                <w:sz w:val="24"/>
              </w:rPr>
            </w:pPr>
          </w:p>
        </w:tc>
      </w:tr>
      <w:tr>
        <w:tblPrEx>
          <w:tblCellMar>
            <w:top w:w="0" w:type="dxa"/>
            <w:left w:w="108" w:type="dxa"/>
            <w:bottom w:w="0" w:type="dxa"/>
            <w:right w:w="108" w:type="dxa"/>
          </w:tblCellMar>
        </w:tblPrEx>
        <w:trPr>
          <w:trHeight w:val="667" w:hRule="atLeast"/>
          <w:jc w:val="center"/>
        </w:trPr>
        <w:tc>
          <w:tcPr>
            <w:tcW w:w="656"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效果</w:t>
            </w:r>
          </w:p>
          <w:p>
            <w:pPr>
              <w:widowControl/>
              <w:jc w:val="center"/>
              <w:rPr>
                <w:rFonts w:ascii="仿宋_GB2312" w:hAnsi="宋体"/>
                <w:color w:val="000000"/>
                <w:kern w:val="0"/>
                <w:sz w:val="20"/>
                <w:szCs w:val="20"/>
              </w:rPr>
            </w:pPr>
            <w:r>
              <w:rPr>
                <w:rFonts w:ascii="仿宋_GB2312" w:hAnsi="宋体"/>
                <w:color w:val="000000"/>
                <w:kern w:val="0"/>
                <w:sz w:val="20"/>
                <w:szCs w:val="20"/>
              </w:rPr>
              <w:t>（20分）</w:t>
            </w:r>
          </w:p>
        </w:tc>
        <w:tc>
          <w:tcPr>
            <w:tcW w:w="710" w:type="dxa"/>
            <w:vMerge w:val="restart"/>
            <w:tcBorders>
              <w:top w:val="nil"/>
              <w:left w:val="nil"/>
              <w:bottom w:val="single" w:color="000000" w:sz="4" w:space="0"/>
              <w:right w:val="single" w:color="auto" w:sz="4" w:space="0"/>
            </w:tcBorders>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项目效益</w:t>
            </w:r>
          </w:p>
          <w:p>
            <w:pPr>
              <w:widowControl/>
              <w:jc w:val="center"/>
              <w:rPr>
                <w:rFonts w:ascii="仿宋_GB2312" w:hAnsi="宋体"/>
                <w:color w:val="000000"/>
                <w:kern w:val="0"/>
                <w:sz w:val="20"/>
                <w:szCs w:val="20"/>
              </w:rPr>
            </w:pPr>
            <w:r>
              <w:rPr>
                <w:rFonts w:ascii="仿宋_GB2312" w:hAnsi="宋体"/>
                <w:color w:val="000000"/>
                <w:kern w:val="0"/>
                <w:sz w:val="20"/>
                <w:szCs w:val="20"/>
              </w:rPr>
              <w:t>（20分）</w:t>
            </w:r>
          </w:p>
        </w:tc>
        <w:tc>
          <w:tcPr>
            <w:tcW w:w="1275" w:type="dxa"/>
            <w:tcBorders>
              <w:top w:val="nil"/>
              <w:left w:val="nil"/>
              <w:bottom w:val="single" w:color="auto" w:sz="4" w:space="0"/>
              <w:right w:val="single" w:color="auto" w:sz="4" w:space="0"/>
            </w:tcBorders>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经济效益</w:t>
            </w:r>
          </w:p>
          <w:p>
            <w:pPr>
              <w:widowControl/>
              <w:jc w:val="center"/>
              <w:rPr>
                <w:rFonts w:ascii="仿宋_GB2312" w:hAnsi="宋体"/>
                <w:color w:val="000000"/>
                <w:kern w:val="0"/>
                <w:sz w:val="20"/>
                <w:szCs w:val="20"/>
              </w:rPr>
            </w:pPr>
            <w:r>
              <w:rPr>
                <w:rFonts w:ascii="仿宋_GB2312" w:hAnsi="宋体"/>
                <w:color w:val="000000"/>
                <w:kern w:val="0"/>
                <w:sz w:val="20"/>
                <w:szCs w:val="20"/>
              </w:rPr>
              <w:t>（4分）</w:t>
            </w:r>
          </w:p>
        </w:tc>
        <w:tc>
          <w:tcPr>
            <w:tcW w:w="3080" w:type="dxa"/>
            <w:tcBorders>
              <w:top w:val="nil"/>
              <w:left w:val="nil"/>
              <w:bottom w:val="single" w:color="auto" w:sz="4" w:space="0"/>
              <w:right w:val="single" w:color="auto" w:sz="4" w:space="0"/>
            </w:tcBorders>
            <w:vAlign w:val="center"/>
          </w:tcPr>
          <w:p>
            <w:pPr>
              <w:widowControl/>
              <w:rPr>
                <w:rFonts w:ascii="仿宋_GB2312" w:hAnsi="宋体"/>
                <w:color w:val="000000"/>
                <w:kern w:val="0"/>
                <w:sz w:val="20"/>
                <w:szCs w:val="20"/>
              </w:rPr>
            </w:pPr>
            <w:r>
              <w:rPr>
                <w:rFonts w:ascii="仿宋_GB2312" w:hAnsi="宋体"/>
                <w:color w:val="000000"/>
                <w:kern w:val="0"/>
                <w:sz w:val="20"/>
                <w:szCs w:val="20"/>
              </w:rPr>
              <w:t>项目实施对经济发展所带来的直接或间接影响情况。</w:t>
            </w:r>
          </w:p>
        </w:tc>
        <w:tc>
          <w:tcPr>
            <w:tcW w:w="4502" w:type="dxa"/>
            <w:vMerge w:val="restart"/>
            <w:tcBorders>
              <w:top w:val="nil"/>
              <w:left w:val="nil"/>
              <w:bottom w:val="single" w:color="000000" w:sz="4" w:space="0"/>
              <w:right w:val="single" w:color="auto" w:sz="4" w:space="0"/>
            </w:tcBorders>
            <w:vAlign w:val="center"/>
          </w:tcPr>
          <w:p>
            <w:pPr>
              <w:widowControl/>
              <w:rPr>
                <w:rFonts w:ascii="仿宋_GB2312" w:hAnsi="宋体"/>
                <w:color w:val="000000"/>
                <w:kern w:val="0"/>
                <w:sz w:val="20"/>
                <w:szCs w:val="20"/>
              </w:rPr>
            </w:pPr>
            <w:r>
              <w:rPr>
                <w:rFonts w:ascii="仿宋_GB2312" w:hAnsi="宋体"/>
                <w:color w:val="000000"/>
                <w:kern w:val="0"/>
                <w:sz w:val="20"/>
                <w:szCs w:val="20"/>
              </w:rPr>
              <w:t>此四项指标为设置项目支出</w:t>
            </w:r>
            <w:r>
              <w:rPr>
                <w:rFonts w:hint="eastAsia" w:ascii="仿宋_GB2312" w:hAnsi="宋体"/>
                <w:color w:val="000000"/>
                <w:kern w:val="0"/>
                <w:sz w:val="20"/>
                <w:szCs w:val="20"/>
              </w:rPr>
              <w:t>绩效评价</w:t>
            </w:r>
            <w:r>
              <w:rPr>
                <w:rFonts w:ascii="仿宋_GB2312" w:hAnsi="宋体"/>
                <w:color w:val="000000"/>
                <w:kern w:val="0"/>
                <w:sz w:val="20"/>
                <w:szCs w:val="20"/>
              </w:rPr>
              <w:t>指标时必须考虑的共性要素，可根据项目实际并结合绩效目标设立情况有选择的进行设置，并将其细化为相应的个性化指标。</w:t>
            </w:r>
          </w:p>
        </w:tc>
        <w:tc>
          <w:tcPr>
            <w:tcW w:w="385" w:type="dxa"/>
            <w:tcBorders>
              <w:top w:val="nil"/>
              <w:left w:val="nil"/>
              <w:bottom w:val="single" w:color="000000" w:sz="4" w:space="0"/>
              <w:right w:val="single" w:color="auto" w:sz="4" w:space="0"/>
            </w:tcBorders>
          </w:tcPr>
          <w:p>
            <w:pPr>
              <w:widowControl/>
              <w:rPr>
                <w:rFonts w:ascii="宋体" w:hAnsi="宋体"/>
                <w:color w:val="000000"/>
                <w:kern w:val="0"/>
                <w:sz w:val="24"/>
              </w:rPr>
            </w:pPr>
            <w:r>
              <w:rPr>
                <w:rFonts w:hint="eastAsia" w:ascii="宋体" w:hAnsi="宋体"/>
                <w:color w:val="000000"/>
                <w:kern w:val="0"/>
                <w:sz w:val="24"/>
              </w:rPr>
              <w:t>4</w:t>
            </w:r>
          </w:p>
        </w:tc>
      </w:tr>
      <w:tr>
        <w:tblPrEx>
          <w:tblCellMar>
            <w:top w:w="0" w:type="dxa"/>
            <w:left w:w="108" w:type="dxa"/>
            <w:bottom w:w="0" w:type="dxa"/>
            <w:right w:w="108" w:type="dxa"/>
          </w:tblCellMar>
        </w:tblPrEx>
        <w:trPr>
          <w:trHeight w:val="604" w:hRule="atLeast"/>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tcBorders>
              <w:top w:val="nil"/>
              <w:left w:val="nil"/>
              <w:bottom w:val="single" w:color="auto" w:sz="4" w:space="0"/>
              <w:right w:val="single" w:color="auto" w:sz="4" w:space="0"/>
            </w:tcBorders>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社会效益</w:t>
            </w:r>
          </w:p>
          <w:p>
            <w:pPr>
              <w:widowControl/>
              <w:jc w:val="center"/>
              <w:rPr>
                <w:rFonts w:ascii="仿宋_GB2312" w:hAnsi="宋体"/>
                <w:color w:val="000000"/>
                <w:kern w:val="0"/>
                <w:sz w:val="20"/>
                <w:szCs w:val="20"/>
              </w:rPr>
            </w:pPr>
            <w:r>
              <w:rPr>
                <w:rFonts w:ascii="仿宋_GB2312" w:hAnsi="宋体"/>
                <w:color w:val="000000"/>
                <w:kern w:val="0"/>
                <w:sz w:val="20"/>
                <w:szCs w:val="20"/>
              </w:rPr>
              <w:t>（3分）</w:t>
            </w:r>
          </w:p>
        </w:tc>
        <w:tc>
          <w:tcPr>
            <w:tcW w:w="3080" w:type="dxa"/>
            <w:tcBorders>
              <w:top w:val="nil"/>
              <w:left w:val="nil"/>
              <w:bottom w:val="single" w:color="auto" w:sz="4" w:space="0"/>
              <w:right w:val="single" w:color="auto" w:sz="4" w:space="0"/>
            </w:tcBorders>
            <w:vAlign w:val="center"/>
          </w:tcPr>
          <w:p>
            <w:pPr>
              <w:widowControl/>
              <w:rPr>
                <w:rFonts w:ascii="仿宋_GB2312" w:hAnsi="宋体"/>
                <w:color w:val="000000"/>
                <w:kern w:val="0"/>
                <w:sz w:val="20"/>
                <w:szCs w:val="20"/>
              </w:rPr>
            </w:pPr>
            <w:r>
              <w:rPr>
                <w:rFonts w:ascii="仿宋_GB2312" w:hAnsi="宋体"/>
                <w:color w:val="000000"/>
                <w:kern w:val="0"/>
                <w:sz w:val="20"/>
                <w:szCs w:val="20"/>
              </w:rPr>
              <w:t>项目实施对社会发展所带来的直接或间接影响情况。</w:t>
            </w:r>
          </w:p>
        </w:tc>
        <w:tc>
          <w:tcPr>
            <w:tcW w:w="4502"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85" w:type="dxa"/>
            <w:tcBorders>
              <w:top w:val="nil"/>
              <w:left w:val="nil"/>
              <w:bottom w:val="single" w:color="000000" w:sz="4" w:space="0"/>
              <w:right w:val="single" w:color="auto" w:sz="4" w:space="0"/>
            </w:tcBorders>
          </w:tcPr>
          <w:p>
            <w:pPr>
              <w:widowControl/>
              <w:jc w:val="left"/>
              <w:rPr>
                <w:rFonts w:ascii="宋体" w:hAnsi="宋体"/>
                <w:color w:val="000000"/>
                <w:kern w:val="0"/>
                <w:sz w:val="24"/>
              </w:rPr>
            </w:pPr>
            <w:r>
              <w:rPr>
                <w:rFonts w:hint="eastAsia" w:ascii="宋体" w:hAnsi="宋体"/>
                <w:color w:val="000000"/>
                <w:kern w:val="0"/>
                <w:sz w:val="24"/>
              </w:rPr>
              <w:t>3</w:t>
            </w:r>
          </w:p>
        </w:tc>
      </w:tr>
      <w:tr>
        <w:tblPrEx>
          <w:tblCellMar>
            <w:top w:w="0" w:type="dxa"/>
            <w:left w:w="108" w:type="dxa"/>
            <w:bottom w:w="0" w:type="dxa"/>
            <w:right w:w="108" w:type="dxa"/>
          </w:tblCellMar>
        </w:tblPrEx>
        <w:trPr>
          <w:trHeight w:val="755" w:hRule="atLeast"/>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tcBorders>
              <w:top w:val="nil"/>
              <w:left w:val="nil"/>
              <w:bottom w:val="single" w:color="auto" w:sz="4" w:space="0"/>
              <w:right w:val="single" w:color="auto" w:sz="4" w:space="0"/>
            </w:tcBorders>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生态效益</w:t>
            </w:r>
          </w:p>
          <w:p>
            <w:pPr>
              <w:widowControl/>
              <w:jc w:val="center"/>
              <w:rPr>
                <w:rFonts w:ascii="仿宋_GB2312" w:hAnsi="宋体"/>
                <w:color w:val="000000"/>
                <w:kern w:val="0"/>
                <w:sz w:val="20"/>
                <w:szCs w:val="20"/>
              </w:rPr>
            </w:pPr>
            <w:r>
              <w:rPr>
                <w:rFonts w:ascii="仿宋_GB2312" w:hAnsi="宋体"/>
                <w:color w:val="000000"/>
                <w:kern w:val="0"/>
                <w:sz w:val="20"/>
                <w:szCs w:val="20"/>
              </w:rPr>
              <w:t>（3分）</w:t>
            </w:r>
          </w:p>
        </w:tc>
        <w:tc>
          <w:tcPr>
            <w:tcW w:w="3080" w:type="dxa"/>
            <w:tcBorders>
              <w:top w:val="nil"/>
              <w:left w:val="nil"/>
              <w:bottom w:val="single" w:color="auto" w:sz="4" w:space="0"/>
              <w:right w:val="single" w:color="auto" w:sz="4" w:space="0"/>
            </w:tcBorders>
            <w:vAlign w:val="center"/>
          </w:tcPr>
          <w:p>
            <w:pPr>
              <w:widowControl/>
              <w:rPr>
                <w:rFonts w:ascii="仿宋_GB2312" w:hAnsi="宋体"/>
                <w:color w:val="000000"/>
                <w:kern w:val="0"/>
                <w:sz w:val="20"/>
                <w:szCs w:val="20"/>
              </w:rPr>
            </w:pPr>
            <w:r>
              <w:rPr>
                <w:rFonts w:ascii="仿宋_GB2312" w:hAnsi="宋体"/>
                <w:color w:val="000000"/>
                <w:kern w:val="0"/>
                <w:sz w:val="20"/>
                <w:szCs w:val="20"/>
              </w:rPr>
              <w:t>项目实施对生态环境所带来的直接或间接影响情况。</w:t>
            </w:r>
          </w:p>
        </w:tc>
        <w:tc>
          <w:tcPr>
            <w:tcW w:w="4502"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85" w:type="dxa"/>
            <w:tcBorders>
              <w:top w:val="nil"/>
              <w:left w:val="nil"/>
              <w:bottom w:val="single" w:color="000000" w:sz="4" w:space="0"/>
              <w:right w:val="single" w:color="auto" w:sz="4" w:space="0"/>
            </w:tcBorders>
          </w:tcPr>
          <w:p>
            <w:pPr>
              <w:widowControl/>
              <w:jc w:val="left"/>
              <w:rPr>
                <w:rFonts w:ascii="宋体" w:hAnsi="宋体"/>
                <w:color w:val="000000"/>
                <w:kern w:val="0"/>
                <w:sz w:val="24"/>
              </w:rPr>
            </w:pPr>
            <w:r>
              <w:rPr>
                <w:rFonts w:hint="eastAsia" w:ascii="宋体" w:hAnsi="宋体"/>
                <w:color w:val="000000"/>
                <w:kern w:val="0"/>
                <w:sz w:val="24"/>
              </w:rPr>
              <w:t>3</w:t>
            </w:r>
          </w:p>
        </w:tc>
      </w:tr>
      <w:tr>
        <w:tblPrEx>
          <w:tblCellMar>
            <w:top w:w="0" w:type="dxa"/>
            <w:left w:w="108" w:type="dxa"/>
            <w:bottom w:w="0" w:type="dxa"/>
            <w:right w:w="108" w:type="dxa"/>
          </w:tblCellMar>
        </w:tblPrEx>
        <w:trPr>
          <w:trHeight w:val="596" w:hRule="atLeast"/>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tcBorders>
              <w:top w:val="nil"/>
              <w:left w:val="nil"/>
              <w:bottom w:val="single" w:color="auto" w:sz="4" w:space="0"/>
              <w:right w:val="single" w:color="auto" w:sz="4" w:space="0"/>
            </w:tcBorders>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可持续影响（4分）</w:t>
            </w:r>
          </w:p>
        </w:tc>
        <w:tc>
          <w:tcPr>
            <w:tcW w:w="3080" w:type="dxa"/>
            <w:tcBorders>
              <w:top w:val="nil"/>
              <w:left w:val="nil"/>
              <w:bottom w:val="single" w:color="auto" w:sz="4" w:space="0"/>
              <w:right w:val="single" w:color="auto" w:sz="4" w:space="0"/>
            </w:tcBorders>
            <w:vAlign w:val="center"/>
          </w:tcPr>
          <w:p>
            <w:pPr>
              <w:widowControl/>
              <w:rPr>
                <w:rFonts w:ascii="仿宋_GB2312" w:hAnsi="宋体"/>
                <w:color w:val="000000"/>
                <w:kern w:val="0"/>
                <w:sz w:val="20"/>
                <w:szCs w:val="20"/>
              </w:rPr>
            </w:pPr>
            <w:r>
              <w:rPr>
                <w:rFonts w:ascii="仿宋_GB2312" w:hAnsi="宋体"/>
                <w:color w:val="000000"/>
                <w:kern w:val="0"/>
                <w:sz w:val="20"/>
                <w:szCs w:val="20"/>
              </w:rPr>
              <w:t>项目后续运行及成效发挥的可持续影响情况。</w:t>
            </w:r>
          </w:p>
        </w:tc>
        <w:tc>
          <w:tcPr>
            <w:tcW w:w="4502"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85" w:type="dxa"/>
            <w:tcBorders>
              <w:top w:val="nil"/>
              <w:left w:val="nil"/>
              <w:bottom w:val="single" w:color="000000" w:sz="4" w:space="0"/>
              <w:right w:val="single" w:color="auto" w:sz="4" w:space="0"/>
            </w:tcBorders>
          </w:tcPr>
          <w:p>
            <w:pPr>
              <w:widowControl/>
              <w:jc w:val="left"/>
              <w:rPr>
                <w:rFonts w:ascii="宋体" w:hAnsi="宋体"/>
                <w:color w:val="000000"/>
                <w:kern w:val="0"/>
                <w:sz w:val="24"/>
              </w:rPr>
            </w:pPr>
            <w:r>
              <w:rPr>
                <w:rFonts w:hint="eastAsia" w:ascii="宋体" w:hAnsi="宋体"/>
                <w:color w:val="000000"/>
                <w:kern w:val="0"/>
                <w:sz w:val="24"/>
              </w:rPr>
              <w:t>4</w:t>
            </w:r>
          </w:p>
        </w:tc>
      </w:tr>
      <w:tr>
        <w:tblPrEx>
          <w:tblCellMar>
            <w:top w:w="0" w:type="dxa"/>
            <w:left w:w="108" w:type="dxa"/>
            <w:bottom w:w="0" w:type="dxa"/>
            <w:right w:w="108" w:type="dxa"/>
          </w:tblCellMar>
        </w:tblPrEx>
        <w:trPr>
          <w:trHeight w:val="90" w:hRule="atLeast"/>
          <w:jc w:val="center"/>
        </w:trPr>
        <w:tc>
          <w:tcPr>
            <w:tcW w:w="656"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auto" w:sz="4" w:space="0"/>
              <w:right w:val="single" w:color="auto" w:sz="4" w:space="0"/>
            </w:tcBorders>
            <w:vAlign w:val="center"/>
          </w:tcPr>
          <w:p>
            <w:pPr>
              <w:widowControl/>
              <w:jc w:val="left"/>
              <w:rPr>
                <w:rFonts w:ascii="仿宋_GB2312" w:hAnsi="宋体"/>
                <w:color w:val="000000"/>
                <w:kern w:val="0"/>
                <w:sz w:val="20"/>
                <w:szCs w:val="20"/>
              </w:rPr>
            </w:pPr>
          </w:p>
        </w:tc>
        <w:tc>
          <w:tcPr>
            <w:tcW w:w="1275" w:type="dxa"/>
            <w:tcBorders>
              <w:top w:val="nil"/>
              <w:left w:val="nil"/>
              <w:bottom w:val="single" w:color="auto" w:sz="4" w:space="0"/>
              <w:right w:val="single" w:color="auto" w:sz="4" w:space="0"/>
            </w:tcBorders>
            <w:vAlign w:val="center"/>
          </w:tcPr>
          <w:p>
            <w:pPr>
              <w:widowControl/>
              <w:jc w:val="center"/>
              <w:rPr>
                <w:rFonts w:ascii="仿宋_GB2312" w:hAnsi="宋体"/>
                <w:color w:val="000000"/>
                <w:kern w:val="0"/>
                <w:sz w:val="18"/>
                <w:szCs w:val="18"/>
              </w:rPr>
            </w:pPr>
            <w:r>
              <w:rPr>
                <w:rFonts w:ascii="仿宋_GB2312" w:hAnsi="宋体"/>
                <w:color w:val="000000"/>
                <w:kern w:val="0"/>
                <w:sz w:val="18"/>
                <w:szCs w:val="18"/>
              </w:rPr>
              <w:t>社会公众或服务对象满意度（6分）</w:t>
            </w:r>
          </w:p>
        </w:tc>
        <w:tc>
          <w:tcPr>
            <w:tcW w:w="3080" w:type="dxa"/>
            <w:tcBorders>
              <w:top w:val="nil"/>
              <w:left w:val="nil"/>
              <w:bottom w:val="single" w:color="auto" w:sz="4" w:space="0"/>
              <w:right w:val="single" w:color="auto" w:sz="4" w:space="0"/>
            </w:tcBorders>
            <w:vAlign w:val="center"/>
          </w:tcPr>
          <w:p>
            <w:pPr>
              <w:widowControl/>
              <w:rPr>
                <w:rFonts w:ascii="仿宋_GB2312" w:hAnsi="宋体"/>
                <w:color w:val="000000"/>
                <w:kern w:val="0"/>
                <w:sz w:val="20"/>
                <w:szCs w:val="20"/>
              </w:rPr>
            </w:pPr>
            <w:r>
              <w:rPr>
                <w:rFonts w:ascii="仿宋_GB2312" w:hAnsi="宋体"/>
                <w:color w:val="000000"/>
                <w:kern w:val="0"/>
                <w:sz w:val="20"/>
                <w:szCs w:val="20"/>
              </w:rPr>
              <w:t>社会公众或服务对象对项目实施</w:t>
            </w:r>
            <w:r>
              <w:rPr>
                <w:rFonts w:hint="eastAsia" w:ascii="仿宋_GB2312" w:hAnsi="宋体"/>
                <w:color w:val="000000"/>
                <w:kern w:val="0"/>
                <w:sz w:val="20"/>
                <w:szCs w:val="20"/>
              </w:rPr>
              <w:t>效果</w:t>
            </w:r>
            <w:r>
              <w:rPr>
                <w:rFonts w:ascii="仿宋_GB2312" w:hAnsi="宋体"/>
                <w:color w:val="000000"/>
                <w:kern w:val="0"/>
                <w:sz w:val="20"/>
                <w:szCs w:val="20"/>
              </w:rPr>
              <w:t>的满意程度</w:t>
            </w:r>
          </w:p>
        </w:tc>
        <w:tc>
          <w:tcPr>
            <w:tcW w:w="4502" w:type="dxa"/>
            <w:tcBorders>
              <w:top w:val="nil"/>
              <w:left w:val="nil"/>
              <w:bottom w:val="single" w:color="auto" w:sz="4" w:space="0"/>
              <w:right w:val="single" w:color="auto" w:sz="4" w:space="0"/>
            </w:tcBorders>
            <w:vAlign w:val="center"/>
          </w:tcPr>
          <w:p>
            <w:pPr>
              <w:widowControl/>
              <w:rPr>
                <w:rFonts w:ascii="仿宋_GB2312" w:hAnsi="宋体"/>
                <w:color w:val="000000"/>
                <w:kern w:val="0"/>
                <w:sz w:val="18"/>
                <w:szCs w:val="18"/>
              </w:rPr>
            </w:pPr>
            <w:r>
              <w:rPr>
                <w:rFonts w:ascii="仿宋_GB2312" w:hAnsi="宋体"/>
                <w:color w:val="000000"/>
                <w:kern w:val="0"/>
                <w:sz w:val="18"/>
                <w:szCs w:val="18"/>
              </w:rPr>
              <w:t>社会公众或服务对象是指因该项目实施而受到影响的部门</w:t>
            </w:r>
            <w:r>
              <w:rPr>
                <w:rFonts w:hint="eastAsia" w:ascii="仿宋_GB2312" w:hAnsi="宋体"/>
                <w:color w:val="000000"/>
                <w:kern w:val="0"/>
                <w:sz w:val="18"/>
                <w:szCs w:val="18"/>
              </w:rPr>
              <w:t>（</w:t>
            </w:r>
            <w:r>
              <w:rPr>
                <w:rFonts w:ascii="仿宋_GB2312" w:hAnsi="宋体"/>
                <w:color w:val="000000"/>
                <w:kern w:val="0"/>
                <w:sz w:val="18"/>
                <w:szCs w:val="18"/>
              </w:rPr>
              <w:t>单位</w:t>
            </w:r>
            <w:r>
              <w:rPr>
                <w:rFonts w:hint="eastAsia" w:ascii="仿宋_GB2312" w:hAnsi="宋体"/>
                <w:color w:val="000000"/>
                <w:kern w:val="0"/>
                <w:sz w:val="18"/>
                <w:szCs w:val="18"/>
              </w:rPr>
              <w:t>）</w:t>
            </w:r>
            <w:r>
              <w:rPr>
                <w:rFonts w:ascii="仿宋_GB2312" w:hAnsi="宋体"/>
                <w:color w:val="000000"/>
                <w:kern w:val="0"/>
                <w:sz w:val="18"/>
                <w:szCs w:val="18"/>
              </w:rPr>
              <w:t>、群体或个人。一般采取社会调查的方式。</w:t>
            </w:r>
          </w:p>
        </w:tc>
        <w:tc>
          <w:tcPr>
            <w:tcW w:w="385" w:type="dxa"/>
            <w:tcBorders>
              <w:top w:val="nil"/>
              <w:left w:val="nil"/>
              <w:bottom w:val="single" w:color="auto" w:sz="4" w:space="0"/>
              <w:right w:val="single" w:color="auto" w:sz="4" w:space="0"/>
            </w:tcBorders>
          </w:tcPr>
          <w:p>
            <w:pPr>
              <w:widowControl/>
              <w:rPr>
                <w:rFonts w:ascii="宋体" w:hAnsi="宋体"/>
                <w:color w:val="000000"/>
                <w:kern w:val="0"/>
                <w:sz w:val="24"/>
              </w:rPr>
            </w:pPr>
            <w:r>
              <w:rPr>
                <w:rFonts w:hint="eastAsia" w:ascii="宋体" w:hAnsi="宋体"/>
                <w:color w:val="000000"/>
                <w:kern w:val="0"/>
                <w:sz w:val="24"/>
              </w:rPr>
              <w:t>6</w:t>
            </w:r>
          </w:p>
        </w:tc>
      </w:tr>
      <w:tr>
        <w:tblPrEx>
          <w:tblCellMar>
            <w:top w:w="0" w:type="dxa"/>
            <w:left w:w="108" w:type="dxa"/>
            <w:bottom w:w="0" w:type="dxa"/>
            <w:right w:w="108" w:type="dxa"/>
          </w:tblCellMar>
        </w:tblPrEx>
        <w:trPr>
          <w:trHeight w:val="517" w:hRule="atLeast"/>
          <w:jc w:val="center"/>
        </w:trPr>
        <w:tc>
          <w:tcPr>
            <w:tcW w:w="1366" w:type="dxa"/>
            <w:gridSpan w:val="2"/>
            <w:tcBorders>
              <w:top w:val="single" w:color="auto" w:sz="4" w:space="0"/>
              <w:left w:val="single" w:color="auto" w:sz="4" w:space="0"/>
              <w:bottom w:val="single" w:color="auto" w:sz="4" w:space="0"/>
              <w:right w:val="single" w:color="auto" w:sz="4" w:space="0"/>
            </w:tcBorders>
          </w:tcPr>
          <w:p>
            <w:pPr>
              <w:widowControl/>
              <w:jc w:val="left"/>
              <w:rPr>
                <w:rFonts w:ascii="仿宋_GB2312" w:hAnsi="宋体"/>
                <w:color w:val="000000"/>
                <w:kern w:val="0"/>
                <w:sz w:val="20"/>
                <w:szCs w:val="20"/>
              </w:rPr>
            </w:pPr>
            <w:r>
              <w:rPr>
                <w:rFonts w:hint="eastAsia" w:ascii="仿宋_GB2312" w:hAnsi="宋体"/>
                <w:color w:val="000000"/>
                <w:kern w:val="0"/>
                <w:sz w:val="20"/>
                <w:szCs w:val="20"/>
              </w:rPr>
              <w:t>合计（分）</w:t>
            </w:r>
          </w:p>
        </w:tc>
        <w:tc>
          <w:tcPr>
            <w:tcW w:w="9242" w:type="dxa"/>
            <w:gridSpan w:val="4"/>
            <w:tcBorders>
              <w:top w:val="single" w:color="auto" w:sz="4" w:space="0"/>
              <w:left w:val="nil"/>
              <w:bottom w:val="single" w:color="auto" w:sz="4" w:space="0"/>
              <w:right w:val="single" w:color="auto" w:sz="4" w:space="0"/>
            </w:tcBorders>
            <w:vAlign w:val="center"/>
          </w:tcPr>
          <w:p>
            <w:pPr>
              <w:widowControl/>
              <w:jc w:val="center"/>
              <w:rPr>
                <w:rFonts w:hint="eastAsia" w:ascii="宋体" w:hAnsi="宋体" w:eastAsia="宋体"/>
                <w:color w:val="000000"/>
                <w:kern w:val="0"/>
                <w:sz w:val="24"/>
                <w:lang w:eastAsia="zh-CN"/>
              </w:rPr>
            </w:pPr>
            <w:r>
              <w:rPr>
                <w:rFonts w:hint="eastAsia" w:ascii="宋体" w:hAnsi="宋体"/>
                <w:color w:val="000000"/>
                <w:kern w:val="0"/>
                <w:sz w:val="24"/>
              </w:rPr>
              <w:t>9</w:t>
            </w:r>
            <w:r>
              <w:rPr>
                <w:rFonts w:hint="eastAsia" w:ascii="宋体" w:hAnsi="宋体"/>
                <w:color w:val="000000"/>
                <w:kern w:val="0"/>
                <w:sz w:val="24"/>
                <w:lang w:val="en-US" w:eastAsia="zh-CN"/>
              </w:rPr>
              <w:t>9</w:t>
            </w:r>
          </w:p>
        </w:tc>
      </w:tr>
    </w:tbl>
    <w:p/>
    <w:p/>
    <w:p/>
    <w:p/>
    <w:p/>
    <w:p/>
    <w:p/>
    <w:p/>
    <w:p/>
    <w:p/>
    <w:p/>
    <w:p/>
    <w:p/>
    <w:p/>
    <w:p/>
    <w:p/>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Helvetica">
    <w:altName w:val="Arial"/>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80084E6"/>
    <w:multiLevelType w:val="singleLevel"/>
    <w:tmpl w:val="D80084E6"/>
    <w:lvl w:ilvl="0" w:tentative="0">
      <w:start w:val="2"/>
      <w:numFmt w:val="chineseCounting"/>
      <w:suff w:val="nothing"/>
      <w:lvlText w:val="（%1）"/>
      <w:lvlJc w:val="left"/>
      <w:rPr>
        <w:rFonts w:hint="eastAsia"/>
      </w:rPr>
    </w:lvl>
  </w:abstractNum>
  <w:abstractNum w:abstractNumId="1">
    <w:nsid w:val="E1C55472"/>
    <w:multiLevelType w:val="singleLevel"/>
    <w:tmpl w:val="E1C55472"/>
    <w:lvl w:ilvl="0" w:tentative="0">
      <w:start w:val="2"/>
      <w:numFmt w:val="chineseCounting"/>
      <w:suff w:val="nothing"/>
      <w:lvlText w:val="（%1）"/>
      <w:lvlJc w:val="left"/>
      <w:rPr>
        <w:rFonts w:hint="eastAsia"/>
      </w:rPr>
    </w:lvl>
  </w:abstractNum>
  <w:abstractNum w:abstractNumId="2">
    <w:nsid w:val="E783D4BB"/>
    <w:multiLevelType w:val="singleLevel"/>
    <w:tmpl w:val="E783D4BB"/>
    <w:lvl w:ilvl="0" w:tentative="0">
      <w:start w:val="1"/>
      <w:numFmt w:val="decimal"/>
      <w:lvlText w:val="%1."/>
      <w:lvlJc w:val="left"/>
      <w:pPr>
        <w:tabs>
          <w:tab w:val="left" w:pos="312"/>
        </w:tabs>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lhMThjN2Q1MDExMTBmNTY3ZTkxM2VmM2Y5NTJhZmIifQ=="/>
    <w:docVar w:name="KSO_WPS_MARK_KEY" w:val="6aee906e-a7de-4205-b603-4d5f6656a126"/>
  </w:docVars>
  <w:rsids>
    <w:rsidRoot w:val="3B2E149E"/>
    <w:rsid w:val="00177FD9"/>
    <w:rsid w:val="00313A39"/>
    <w:rsid w:val="0045709A"/>
    <w:rsid w:val="008A1940"/>
    <w:rsid w:val="00932553"/>
    <w:rsid w:val="00933DDD"/>
    <w:rsid w:val="00B612D2"/>
    <w:rsid w:val="00C65925"/>
    <w:rsid w:val="00C96346"/>
    <w:rsid w:val="00E57CDA"/>
    <w:rsid w:val="00E82067"/>
    <w:rsid w:val="00EA0EAB"/>
    <w:rsid w:val="1AAF3480"/>
    <w:rsid w:val="1AFB7405"/>
    <w:rsid w:val="1DA203F6"/>
    <w:rsid w:val="21B8102D"/>
    <w:rsid w:val="26875CA4"/>
    <w:rsid w:val="2C745384"/>
    <w:rsid w:val="2CCE78F5"/>
    <w:rsid w:val="2F8F7636"/>
    <w:rsid w:val="34BB1D29"/>
    <w:rsid w:val="363C2636"/>
    <w:rsid w:val="3B2E149E"/>
    <w:rsid w:val="3DCA4743"/>
    <w:rsid w:val="3E007A52"/>
    <w:rsid w:val="3F0C10F2"/>
    <w:rsid w:val="40192E38"/>
    <w:rsid w:val="40696E92"/>
    <w:rsid w:val="461A56D4"/>
    <w:rsid w:val="48D47BB5"/>
    <w:rsid w:val="498176A7"/>
    <w:rsid w:val="4C4E010F"/>
    <w:rsid w:val="645B1B3F"/>
    <w:rsid w:val="6AB01D17"/>
    <w:rsid w:val="6BF37CB6"/>
    <w:rsid w:val="6CFD6A40"/>
    <w:rsid w:val="6EB47971"/>
    <w:rsid w:val="71183086"/>
    <w:rsid w:val="7AEC370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2"/>
    <w:qFormat/>
    <w:uiPriority w:val="0"/>
    <w:pPr>
      <w:tabs>
        <w:tab w:val="center" w:pos="4153"/>
        <w:tab w:val="right" w:pos="8306"/>
      </w:tabs>
      <w:snapToGrid w:val="0"/>
      <w:jc w:val="left"/>
    </w:pPr>
    <w:rPr>
      <w:sz w:val="18"/>
      <w:szCs w:val="18"/>
    </w:rPr>
  </w:style>
  <w:style w:type="paragraph" w:styleId="5">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Autospacing="1" w:afterAutospacing="1"/>
      <w:jc w:val="left"/>
    </w:pPr>
    <w:rPr>
      <w:kern w:val="0"/>
      <w:sz w:val="24"/>
    </w:rPr>
  </w:style>
  <w:style w:type="character" w:styleId="9">
    <w:name w:val="Hyperlink"/>
    <w:basedOn w:val="8"/>
    <w:qFormat/>
    <w:uiPriority w:val="0"/>
    <w:rPr>
      <w:color w:val="0000FF"/>
      <w:u w:val="single"/>
    </w:rPr>
  </w:style>
  <w:style w:type="paragraph" w:styleId="10">
    <w:name w:val="List Paragraph"/>
    <w:basedOn w:val="1"/>
    <w:qFormat/>
    <w:uiPriority w:val="99"/>
    <w:pPr>
      <w:ind w:firstLine="420" w:firstLineChars="200"/>
    </w:pPr>
    <w:rPr>
      <w:szCs w:val="22"/>
    </w:rPr>
  </w:style>
  <w:style w:type="character" w:customStyle="1" w:styleId="11">
    <w:name w:val="页眉 字符"/>
    <w:basedOn w:val="8"/>
    <w:link w:val="5"/>
    <w:qFormat/>
    <w:uiPriority w:val="0"/>
    <w:rPr>
      <w:rFonts w:ascii="Calibri" w:hAnsi="Calibri"/>
      <w:kern w:val="2"/>
      <w:sz w:val="18"/>
      <w:szCs w:val="18"/>
    </w:rPr>
  </w:style>
  <w:style w:type="character" w:customStyle="1" w:styleId="12">
    <w:name w:val="页脚 字符"/>
    <w:basedOn w:val="8"/>
    <w:link w:val="4"/>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24</Pages>
  <Words>9607</Words>
  <Characters>10384</Characters>
  <Lines>14</Lines>
  <Paragraphs>4</Paragraphs>
  <TotalTime>8</TotalTime>
  <ScaleCrop>false</ScaleCrop>
  <LinksUpToDate>false</LinksUpToDate>
  <CharactersWithSpaces>10689</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2024-04-09T17:24:00Z</dcterms:created>
  <dc:creator>^与久。</dc:creator>
  <cp:lastModifiedBy>Administrator</cp:lastModifiedBy>
  <cp:lastPrinted>2024-04-26T01:31:00Z</cp:lastPrinted>
  <dcterms:modified xsi:type="dcterms:W3CDTF">2024-12-25T01:37:58Z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E8EEDCFD105A44D589B960048447AE8A_13</vt:lpwstr>
  </property>
</Properties>
</file>